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84F97" w14:textId="77777777" w:rsidR="00B231E5" w:rsidRDefault="00821BB1" w:rsidP="00B231E5">
      <w:pPr>
        <w:spacing w:before="190"/>
        <w:ind w:right="95"/>
        <w:jc w:val="both"/>
        <w:rPr>
          <w:rFonts w:asciiTheme="minorHAnsi" w:hAnsiTheme="minorHAnsi" w:cstheme="minorHAnsi"/>
          <w:b/>
        </w:rPr>
      </w:pPr>
      <w:r w:rsidRPr="00E708D4">
        <w:rPr>
          <w:rFonts w:asciiTheme="minorHAnsi" w:hAnsiTheme="minorHAnsi" w:cstheme="minorHAnsi"/>
          <w:b/>
        </w:rPr>
        <w:t>EN CUMPLIMIENTO A LO PREVISTO EN LOS ARTÍCULOS 56 Y 78 DE LA LEY GENERAL DE CONTABILIDAD GUBERNAMENTAL</w:t>
      </w:r>
      <w:r w:rsidR="00E43507" w:rsidRPr="00E708D4">
        <w:rPr>
          <w:rFonts w:asciiTheme="minorHAnsi" w:hAnsiTheme="minorHAnsi" w:cstheme="minorHAnsi"/>
          <w:b/>
        </w:rPr>
        <w:t>.</w:t>
      </w:r>
    </w:p>
    <w:p w14:paraId="59CC8EA6" w14:textId="3E4089C0" w:rsidR="00692ED9" w:rsidRDefault="00095871" w:rsidP="00692ED9">
      <w:pPr>
        <w:pStyle w:val="Prrafodelista"/>
        <w:numPr>
          <w:ilvl w:val="0"/>
          <w:numId w:val="5"/>
        </w:numPr>
        <w:spacing w:before="190"/>
        <w:ind w:left="0" w:right="95"/>
        <w:rPr>
          <w:rFonts w:asciiTheme="minorHAnsi" w:hAnsiTheme="minorHAnsi" w:cstheme="minorHAnsi"/>
          <w:b/>
        </w:rPr>
      </w:pPr>
      <w:r w:rsidRPr="00B231E5">
        <w:rPr>
          <w:rFonts w:asciiTheme="minorHAnsi" w:hAnsiTheme="minorHAnsi" w:cstheme="minorHAnsi"/>
          <w:bCs/>
          <w:sz w:val="21"/>
        </w:rPr>
        <w:t xml:space="preserve">Se presenta cuadro con características de las obligaciones a que se refieren los artículos 47 fracción II y 50 de la Ley de Coordinación Fiscal: </w:t>
      </w:r>
    </w:p>
    <w:p w14:paraId="4CF1627E" w14:textId="77777777" w:rsidR="00692ED9" w:rsidRPr="00692ED9" w:rsidRDefault="00692ED9" w:rsidP="00692ED9">
      <w:pPr>
        <w:pStyle w:val="Prrafodelista"/>
        <w:spacing w:before="190"/>
        <w:ind w:left="0" w:right="95" w:firstLine="0"/>
        <w:rPr>
          <w:rFonts w:asciiTheme="minorHAnsi" w:hAnsiTheme="minorHAnsi" w:cstheme="minorHAnsi"/>
          <w:b/>
        </w:rPr>
      </w:pPr>
    </w:p>
    <w:p w14:paraId="4482B2D9" w14:textId="77777777" w:rsidR="00937839" w:rsidRDefault="00937839" w:rsidP="007B5118">
      <w:pPr>
        <w:pStyle w:val="Textoindependiente"/>
        <w:ind w:right="95"/>
        <w:rPr>
          <w:color w:val="FF0000"/>
          <w:sz w:val="14"/>
          <w:szCs w:val="14"/>
          <w:lang w:val="es-MX"/>
        </w:rPr>
      </w:pPr>
    </w:p>
    <w:tbl>
      <w:tblPr>
        <w:tblW w:w="9353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753"/>
        <w:gridCol w:w="903"/>
        <w:gridCol w:w="1210"/>
        <w:gridCol w:w="1054"/>
        <w:gridCol w:w="1054"/>
        <w:gridCol w:w="830"/>
        <w:gridCol w:w="938"/>
        <w:gridCol w:w="814"/>
        <w:gridCol w:w="742"/>
      </w:tblGrid>
      <w:tr w:rsidR="0047295D" w:rsidRPr="00FF57B4" w14:paraId="53CAC154" w14:textId="77777777" w:rsidTr="007B5118">
        <w:trPr>
          <w:trHeight w:val="167"/>
        </w:trPr>
        <w:tc>
          <w:tcPr>
            <w:tcW w:w="93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2762" w14:textId="77777777" w:rsidR="0047295D" w:rsidRPr="00B231E5" w:rsidRDefault="0047295D" w:rsidP="007B5118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9"/>
                <w:lang w:val="es-MX"/>
              </w:rPr>
            </w:pPr>
            <w:r w:rsidRPr="00B231E5">
              <w:rPr>
                <w:rFonts w:ascii="Calibri" w:hAnsi="Calibri" w:cs="Calibri"/>
                <w:b/>
                <w:bCs/>
                <w:sz w:val="16"/>
                <w:szCs w:val="19"/>
              </w:rPr>
              <w:t>OBLIGACIONES PAGADAS O GARANTIZADAS CON FONDOS FEDERALES</w:t>
            </w:r>
          </w:p>
        </w:tc>
      </w:tr>
      <w:tr w:rsidR="0047295D" w:rsidRPr="00FF57B4" w14:paraId="33D1CBCB" w14:textId="77777777" w:rsidTr="007B5118">
        <w:trPr>
          <w:trHeight w:val="167"/>
        </w:trPr>
        <w:tc>
          <w:tcPr>
            <w:tcW w:w="93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8E7B" w14:textId="59CBC6D1" w:rsidR="0047295D" w:rsidRPr="00B231E5" w:rsidRDefault="00331760" w:rsidP="00331760">
            <w:pPr>
              <w:jc w:val="center"/>
              <w:rPr>
                <w:rFonts w:ascii="Calibri" w:hAnsi="Calibri" w:cs="Calibri"/>
                <w:b/>
                <w:bCs/>
                <w:sz w:val="16"/>
                <w:szCs w:val="19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9"/>
              </w:rPr>
              <w:t>AL 31</w:t>
            </w:r>
            <w:r w:rsidR="0047295D" w:rsidRPr="00B231E5">
              <w:rPr>
                <w:rFonts w:ascii="Calibri" w:hAnsi="Calibri" w:cs="Calibri"/>
                <w:b/>
                <w:bCs/>
                <w:sz w:val="16"/>
                <w:szCs w:val="19"/>
              </w:rPr>
              <w:t xml:space="preserve"> DE </w:t>
            </w:r>
            <w:r>
              <w:rPr>
                <w:rFonts w:ascii="Calibri" w:hAnsi="Calibri" w:cs="Calibri"/>
                <w:b/>
                <w:bCs/>
                <w:sz w:val="16"/>
                <w:szCs w:val="19"/>
              </w:rPr>
              <w:t>DICIEMBR</w:t>
            </w:r>
            <w:r w:rsidR="00B231E5" w:rsidRPr="00B231E5">
              <w:rPr>
                <w:rFonts w:ascii="Calibri" w:hAnsi="Calibri" w:cs="Calibri"/>
                <w:b/>
                <w:bCs/>
                <w:sz w:val="16"/>
                <w:szCs w:val="19"/>
              </w:rPr>
              <w:t>E</w:t>
            </w:r>
            <w:r w:rsidR="0047295D" w:rsidRPr="00B231E5">
              <w:rPr>
                <w:rFonts w:ascii="Calibri" w:hAnsi="Calibri" w:cs="Calibri"/>
                <w:b/>
                <w:bCs/>
                <w:sz w:val="16"/>
                <w:szCs w:val="19"/>
              </w:rPr>
              <w:t xml:space="preserve"> DE 2024</w:t>
            </w:r>
          </w:p>
        </w:tc>
      </w:tr>
      <w:tr w:rsidR="0047295D" w:rsidRPr="00FF57B4" w14:paraId="6A1BC96B" w14:textId="77777777" w:rsidTr="007B5118">
        <w:trPr>
          <w:trHeight w:val="167"/>
        </w:trPr>
        <w:tc>
          <w:tcPr>
            <w:tcW w:w="93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3ECB0" w14:textId="77777777" w:rsidR="0047295D" w:rsidRPr="00B231E5" w:rsidRDefault="0047295D" w:rsidP="007B5118">
            <w:pPr>
              <w:jc w:val="center"/>
              <w:rPr>
                <w:rFonts w:ascii="Calibri" w:hAnsi="Calibri" w:cs="Calibri"/>
                <w:b/>
                <w:bCs/>
                <w:sz w:val="16"/>
                <w:szCs w:val="19"/>
              </w:rPr>
            </w:pPr>
            <w:r w:rsidRPr="00B231E5">
              <w:rPr>
                <w:rFonts w:ascii="Calibri" w:hAnsi="Calibri" w:cs="Calibri"/>
                <w:b/>
                <w:bCs/>
                <w:sz w:val="16"/>
                <w:szCs w:val="19"/>
              </w:rPr>
              <w:t>(Miles de pesos)</w:t>
            </w:r>
          </w:p>
        </w:tc>
      </w:tr>
      <w:tr w:rsidR="007B5118" w:rsidRPr="00FF57B4" w14:paraId="0212D990" w14:textId="77777777" w:rsidTr="007B5118">
        <w:trPr>
          <w:trHeight w:val="583"/>
        </w:trPr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0AF187" w14:textId="77777777" w:rsidR="0047295D" w:rsidRPr="00B231E5" w:rsidRDefault="0047295D" w:rsidP="007B5118">
            <w:pPr>
              <w:jc w:val="center"/>
              <w:rPr>
                <w:rFonts w:ascii="Arial" w:hAnsi="Arial" w:cs="Arial"/>
                <w:b/>
                <w:bCs/>
                <w:sz w:val="16"/>
                <w:szCs w:val="19"/>
              </w:rPr>
            </w:pPr>
            <w:r w:rsidRPr="00B231E5">
              <w:rPr>
                <w:rFonts w:ascii="Arial" w:hAnsi="Arial" w:cs="Arial"/>
                <w:b/>
                <w:bCs/>
                <w:sz w:val="16"/>
                <w:szCs w:val="19"/>
              </w:rPr>
              <w:t>Tipo de Obligación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E091DA" w14:textId="77777777" w:rsidR="0047295D" w:rsidRPr="00B231E5" w:rsidRDefault="0047295D" w:rsidP="007B5118">
            <w:pPr>
              <w:jc w:val="center"/>
              <w:rPr>
                <w:rFonts w:ascii="Arial" w:hAnsi="Arial" w:cs="Arial"/>
                <w:b/>
                <w:bCs/>
                <w:sz w:val="16"/>
                <w:szCs w:val="19"/>
              </w:rPr>
            </w:pPr>
            <w:r w:rsidRPr="00B231E5">
              <w:rPr>
                <w:rFonts w:ascii="Arial" w:hAnsi="Arial" w:cs="Arial"/>
                <w:b/>
                <w:bCs/>
                <w:sz w:val="16"/>
                <w:szCs w:val="19"/>
              </w:rPr>
              <w:t>Plazo  (Años)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480874" w14:textId="77777777" w:rsidR="0047295D" w:rsidRPr="00B231E5" w:rsidRDefault="0047295D" w:rsidP="007B5118">
            <w:pPr>
              <w:jc w:val="center"/>
              <w:rPr>
                <w:rFonts w:ascii="Arial" w:hAnsi="Arial" w:cs="Arial"/>
                <w:b/>
                <w:bCs/>
                <w:sz w:val="16"/>
                <w:szCs w:val="19"/>
              </w:rPr>
            </w:pPr>
            <w:r w:rsidRPr="00B231E5">
              <w:rPr>
                <w:rFonts w:ascii="Arial" w:hAnsi="Arial" w:cs="Arial"/>
                <w:b/>
                <w:bCs/>
                <w:sz w:val="16"/>
                <w:szCs w:val="19"/>
              </w:rPr>
              <w:t>Tasa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78FCB7" w14:textId="77777777" w:rsidR="0047295D" w:rsidRPr="00B231E5" w:rsidRDefault="0047295D" w:rsidP="007B5118">
            <w:pPr>
              <w:jc w:val="center"/>
              <w:rPr>
                <w:rFonts w:ascii="Arial" w:hAnsi="Arial" w:cs="Arial"/>
                <w:b/>
                <w:bCs/>
                <w:sz w:val="16"/>
                <w:szCs w:val="19"/>
              </w:rPr>
            </w:pPr>
            <w:r w:rsidRPr="00B231E5">
              <w:rPr>
                <w:rFonts w:ascii="Arial" w:hAnsi="Arial" w:cs="Arial"/>
                <w:b/>
                <w:bCs/>
                <w:sz w:val="16"/>
                <w:szCs w:val="19"/>
              </w:rPr>
              <w:t>Fin, Destino y Objeto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83E99F" w14:textId="77777777" w:rsidR="0047295D" w:rsidRPr="00B231E5" w:rsidRDefault="0047295D" w:rsidP="007B5118">
            <w:pPr>
              <w:jc w:val="center"/>
              <w:rPr>
                <w:rFonts w:ascii="Arial" w:hAnsi="Arial" w:cs="Arial"/>
                <w:b/>
                <w:bCs/>
                <w:sz w:val="16"/>
                <w:szCs w:val="19"/>
              </w:rPr>
            </w:pPr>
            <w:r w:rsidRPr="00B231E5">
              <w:rPr>
                <w:rFonts w:ascii="Arial" w:hAnsi="Arial" w:cs="Arial"/>
                <w:b/>
                <w:bCs/>
                <w:sz w:val="16"/>
                <w:szCs w:val="19"/>
              </w:rPr>
              <w:t>Acreedor, Proveedor o Contratista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A65D63" w14:textId="77777777" w:rsidR="0047295D" w:rsidRPr="00B231E5" w:rsidRDefault="0047295D" w:rsidP="007B5118">
            <w:pPr>
              <w:jc w:val="center"/>
              <w:rPr>
                <w:rFonts w:ascii="Arial" w:hAnsi="Arial" w:cs="Arial"/>
                <w:b/>
                <w:bCs/>
                <w:sz w:val="16"/>
                <w:szCs w:val="19"/>
              </w:rPr>
            </w:pPr>
            <w:r w:rsidRPr="00B231E5">
              <w:rPr>
                <w:rFonts w:ascii="Arial" w:hAnsi="Arial" w:cs="Arial"/>
                <w:b/>
                <w:bCs/>
                <w:sz w:val="16"/>
                <w:szCs w:val="19"/>
              </w:rPr>
              <w:t>Importe Total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599CFE" w14:textId="77777777" w:rsidR="0047295D" w:rsidRPr="00B231E5" w:rsidRDefault="0047295D" w:rsidP="007B5118">
            <w:pPr>
              <w:jc w:val="center"/>
              <w:rPr>
                <w:rFonts w:ascii="Arial" w:hAnsi="Arial" w:cs="Arial"/>
                <w:b/>
                <w:bCs/>
                <w:sz w:val="16"/>
                <w:szCs w:val="19"/>
              </w:rPr>
            </w:pPr>
            <w:r w:rsidRPr="00B231E5">
              <w:rPr>
                <w:rFonts w:ascii="Arial" w:hAnsi="Arial" w:cs="Arial"/>
                <w:b/>
                <w:bCs/>
                <w:sz w:val="16"/>
                <w:szCs w:val="19"/>
              </w:rPr>
              <w:t>Fondo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E8AA0B" w14:textId="77777777" w:rsidR="0047295D" w:rsidRPr="00B231E5" w:rsidRDefault="0047295D" w:rsidP="007B5118">
            <w:pPr>
              <w:jc w:val="center"/>
              <w:rPr>
                <w:rFonts w:ascii="Arial" w:hAnsi="Arial" w:cs="Arial"/>
                <w:b/>
                <w:bCs/>
                <w:sz w:val="16"/>
                <w:szCs w:val="19"/>
              </w:rPr>
            </w:pPr>
            <w:r w:rsidRPr="00B231E5">
              <w:rPr>
                <w:rFonts w:ascii="Arial" w:hAnsi="Arial" w:cs="Arial"/>
                <w:b/>
                <w:bCs/>
                <w:sz w:val="16"/>
                <w:szCs w:val="19"/>
              </w:rPr>
              <w:t>Importe Garantizado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D045CE" w14:textId="77777777" w:rsidR="0047295D" w:rsidRPr="00B231E5" w:rsidRDefault="0047295D" w:rsidP="007B5118">
            <w:pPr>
              <w:jc w:val="center"/>
              <w:rPr>
                <w:rFonts w:ascii="Arial" w:hAnsi="Arial" w:cs="Arial"/>
                <w:b/>
                <w:bCs/>
                <w:sz w:val="16"/>
                <w:szCs w:val="19"/>
              </w:rPr>
            </w:pPr>
            <w:r w:rsidRPr="00B231E5">
              <w:rPr>
                <w:rFonts w:ascii="Arial" w:hAnsi="Arial" w:cs="Arial"/>
                <w:b/>
                <w:bCs/>
                <w:sz w:val="16"/>
                <w:szCs w:val="19"/>
              </w:rPr>
              <w:t xml:space="preserve">Importe y porcentaje del  total que se paga y garantiza con recursos de dichos fondos </w:t>
            </w:r>
          </w:p>
        </w:tc>
      </w:tr>
      <w:tr w:rsidR="007B5118" w:rsidRPr="00FF57B4" w14:paraId="155DB794" w14:textId="77777777" w:rsidTr="007B5118">
        <w:trPr>
          <w:trHeight w:val="460"/>
        </w:trPr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1281B" w14:textId="77777777" w:rsidR="0047295D" w:rsidRPr="00B231E5" w:rsidRDefault="0047295D" w:rsidP="007B5118">
            <w:pPr>
              <w:rPr>
                <w:rFonts w:ascii="Arial" w:hAnsi="Arial" w:cs="Arial"/>
                <w:b/>
                <w:bCs/>
                <w:sz w:val="16"/>
                <w:szCs w:val="19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C4F88" w14:textId="77777777" w:rsidR="0047295D" w:rsidRPr="00B231E5" w:rsidRDefault="0047295D" w:rsidP="007B5118">
            <w:pPr>
              <w:rPr>
                <w:rFonts w:ascii="Arial" w:hAnsi="Arial" w:cs="Arial"/>
                <w:b/>
                <w:bCs/>
                <w:sz w:val="16"/>
                <w:szCs w:val="19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3D5F9" w14:textId="77777777" w:rsidR="0047295D" w:rsidRPr="00B231E5" w:rsidRDefault="0047295D" w:rsidP="007B5118">
            <w:pPr>
              <w:rPr>
                <w:rFonts w:ascii="Arial" w:hAnsi="Arial" w:cs="Arial"/>
                <w:b/>
                <w:bCs/>
                <w:sz w:val="16"/>
                <w:szCs w:val="19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46277" w14:textId="77777777" w:rsidR="0047295D" w:rsidRPr="00B231E5" w:rsidRDefault="0047295D" w:rsidP="007B5118">
            <w:pPr>
              <w:rPr>
                <w:rFonts w:ascii="Arial" w:hAnsi="Arial" w:cs="Arial"/>
                <w:b/>
                <w:bCs/>
                <w:sz w:val="16"/>
                <w:szCs w:val="19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22644" w14:textId="77777777" w:rsidR="0047295D" w:rsidRPr="00B231E5" w:rsidRDefault="0047295D" w:rsidP="007B5118">
            <w:pPr>
              <w:rPr>
                <w:rFonts w:ascii="Arial" w:hAnsi="Arial" w:cs="Arial"/>
                <w:b/>
                <w:bCs/>
                <w:sz w:val="16"/>
                <w:szCs w:val="19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2D549" w14:textId="77777777" w:rsidR="0047295D" w:rsidRPr="00B231E5" w:rsidRDefault="0047295D" w:rsidP="007B5118">
            <w:pPr>
              <w:rPr>
                <w:rFonts w:ascii="Arial" w:hAnsi="Arial" w:cs="Arial"/>
                <w:b/>
                <w:bCs/>
                <w:sz w:val="16"/>
                <w:szCs w:val="19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D13C2" w14:textId="77777777" w:rsidR="0047295D" w:rsidRPr="00B231E5" w:rsidRDefault="0047295D" w:rsidP="007B5118">
            <w:pPr>
              <w:rPr>
                <w:rFonts w:ascii="Arial" w:hAnsi="Arial" w:cs="Arial"/>
                <w:b/>
                <w:bCs/>
                <w:sz w:val="16"/>
                <w:szCs w:val="19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BC2D4" w14:textId="77777777" w:rsidR="0047295D" w:rsidRPr="00B231E5" w:rsidRDefault="0047295D" w:rsidP="007B5118">
            <w:pPr>
              <w:rPr>
                <w:rFonts w:ascii="Arial" w:hAnsi="Arial" w:cs="Arial"/>
                <w:b/>
                <w:bCs/>
                <w:sz w:val="16"/>
                <w:szCs w:val="19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6E388C" w14:textId="77777777" w:rsidR="0047295D" w:rsidRPr="00B231E5" w:rsidRDefault="0047295D" w:rsidP="007B5118">
            <w:pPr>
              <w:jc w:val="center"/>
              <w:rPr>
                <w:rFonts w:ascii="Arial" w:hAnsi="Arial" w:cs="Arial"/>
                <w:b/>
                <w:bCs/>
                <w:sz w:val="16"/>
                <w:szCs w:val="19"/>
              </w:rPr>
            </w:pPr>
            <w:r w:rsidRPr="00B231E5">
              <w:rPr>
                <w:rFonts w:ascii="Arial" w:hAnsi="Arial" w:cs="Arial"/>
                <w:b/>
                <w:bCs/>
                <w:sz w:val="16"/>
                <w:szCs w:val="19"/>
              </w:rPr>
              <w:t>Importe Pagado /1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7C4487" w14:textId="77777777" w:rsidR="0047295D" w:rsidRPr="00B231E5" w:rsidRDefault="0047295D" w:rsidP="007B5118">
            <w:pPr>
              <w:jc w:val="center"/>
              <w:rPr>
                <w:rFonts w:ascii="Arial" w:hAnsi="Arial" w:cs="Arial"/>
                <w:b/>
                <w:bCs/>
                <w:sz w:val="16"/>
                <w:szCs w:val="19"/>
              </w:rPr>
            </w:pPr>
            <w:r w:rsidRPr="00B231E5">
              <w:rPr>
                <w:rFonts w:ascii="Arial" w:hAnsi="Arial" w:cs="Arial"/>
                <w:b/>
                <w:bCs/>
                <w:sz w:val="16"/>
                <w:szCs w:val="19"/>
              </w:rPr>
              <w:t>% Respecto  Total  /2</w:t>
            </w:r>
          </w:p>
        </w:tc>
      </w:tr>
      <w:tr w:rsidR="007B5118" w:rsidRPr="00B231E5" w14:paraId="1C9961BA" w14:textId="77777777" w:rsidTr="007B5118">
        <w:trPr>
          <w:trHeight w:val="229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855A6" w14:textId="77777777" w:rsidR="0047295D" w:rsidRPr="00B231E5" w:rsidRDefault="0047295D" w:rsidP="007B5118">
            <w:pPr>
              <w:rPr>
                <w:rFonts w:ascii="Arial" w:hAnsi="Arial" w:cs="Arial"/>
                <w:color w:val="FF0000"/>
                <w:sz w:val="16"/>
                <w:szCs w:val="19"/>
              </w:rPr>
            </w:pPr>
            <w:r w:rsidRPr="00B231E5">
              <w:rPr>
                <w:rFonts w:ascii="Arial" w:hAnsi="Arial" w:cs="Arial"/>
                <w:color w:val="FF0000"/>
                <w:sz w:val="16"/>
                <w:szCs w:val="19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9394" w14:textId="77777777" w:rsidR="0047295D" w:rsidRPr="00B231E5" w:rsidRDefault="0047295D" w:rsidP="007B5118">
            <w:pPr>
              <w:rPr>
                <w:rFonts w:ascii="Arial" w:hAnsi="Arial" w:cs="Arial"/>
                <w:color w:val="FF0000"/>
                <w:sz w:val="16"/>
                <w:szCs w:val="19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592D" w14:textId="77777777" w:rsidR="0047295D" w:rsidRPr="00B231E5" w:rsidRDefault="0047295D" w:rsidP="007B5118">
            <w:pPr>
              <w:rPr>
                <w:sz w:val="16"/>
                <w:szCs w:val="19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E6F9" w14:textId="77777777" w:rsidR="0047295D" w:rsidRPr="00B231E5" w:rsidRDefault="0047295D" w:rsidP="007B5118">
            <w:pPr>
              <w:rPr>
                <w:sz w:val="16"/>
                <w:szCs w:val="19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86D9" w14:textId="77777777" w:rsidR="0047295D" w:rsidRPr="00B231E5" w:rsidRDefault="0047295D" w:rsidP="007B5118">
            <w:pPr>
              <w:rPr>
                <w:sz w:val="16"/>
                <w:szCs w:val="19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E2A3" w14:textId="77777777" w:rsidR="0047295D" w:rsidRPr="00B231E5" w:rsidRDefault="0047295D" w:rsidP="007B5118">
            <w:pPr>
              <w:rPr>
                <w:sz w:val="16"/>
                <w:szCs w:val="19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5CB5" w14:textId="77777777" w:rsidR="0047295D" w:rsidRPr="00B231E5" w:rsidRDefault="0047295D" w:rsidP="007B5118">
            <w:pPr>
              <w:rPr>
                <w:sz w:val="16"/>
                <w:szCs w:val="19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6F42" w14:textId="77777777" w:rsidR="0047295D" w:rsidRPr="00B231E5" w:rsidRDefault="0047295D" w:rsidP="007B5118">
            <w:pPr>
              <w:rPr>
                <w:sz w:val="16"/>
                <w:szCs w:val="19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1936" w14:textId="77777777" w:rsidR="0047295D" w:rsidRPr="00B231E5" w:rsidRDefault="0047295D" w:rsidP="007B5118">
            <w:pPr>
              <w:rPr>
                <w:sz w:val="16"/>
                <w:szCs w:val="19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E51E" w14:textId="77777777" w:rsidR="0047295D" w:rsidRPr="00B231E5" w:rsidRDefault="0047295D" w:rsidP="007B5118">
            <w:pPr>
              <w:rPr>
                <w:rFonts w:ascii="Arial" w:hAnsi="Arial" w:cs="Arial"/>
                <w:color w:val="FF0000"/>
                <w:sz w:val="16"/>
                <w:szCs w:val="19"/>
              </w:rPr>
            </w:pPr>
            <w:r w:rsidRPr="00B231E5">
              <w:rPr>
                <w:rFonts w:ascii="Arial" w:hAnsi="Arial" w:cs="Arial"/>
                <w:color w:val="FF0000"/>
                <w:sz w:val="16"/>
                <w:szCs w:val="19"/>
              </w:rPr>
              <w:t> </w:t>
            </w:r>
          </w:p>
        </w:tc>
      </w:tr>
      <w:tr w:rsidR="00DE65BB" w:rsidRPr="0091579B" w14:paraId="4B85D33F" w14:textId="77777777" w:rsidTr="0091579B">
        <w:trPr>
          <w:trHeight w:val="302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EE64" w14:textId="09D50CA8" w:rsidR="00DE65BB" w:rsidRPr="00B231E5" w:rsidRDefault="00DE65BB" w:rsidP="00DE65BB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>Crédito Simple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59A8" w14:textId="77777777" w:rsidR="00DE65BB" w:rsidRPr="00B231E5" w:rsidRDefault="00DE65BB" w:rsidP="00DE65BB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>24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4803" w14:textId="77777777" w:rsidR="00DE65BB" w:rsidRPr="00B231E5" w:rsidRDefault="00DE65BB" w:rsidP="00DE65BB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>TIIE 28 DIAS + 0.40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8DF5" w14:textId="7E44B1B3" w:rsidR="00DE65BB" w:rsidRPr="00B231E5" w:rsidRDefault="00DE65BB" w:rsidP="00DE65BB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>Saneamiento Financiero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B4F0" w14:textId="77777777" w:rsidR="00DE65BB" w:rsidRPr="00B231E5" w:rsidRDefault="00DE65BB" w:rsidP="00DE65BB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proofErr w:type="spellStart"/>
            <w:r w:rsidRPr="00B231E5">
              <w:rPr>
                <w:rFonts w:ascii="Arial" w:hAnsi="Arial" w:cs="Arial"/>
                <w:sz w:val="16"/>
                <w:szCs w:val="19"/>
              </w:rPr>
              <w:t>Banobras</w:t>
            </w:r>
            <w:proofErr w:type="spellEnd"/>
            <w:r w:rsidRPr="00B231E5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3939" w14:textId="0389A694" w:rsidR="00DE65BB" w:rsidRPr="0091579B" w:rsidRDefault="00DE65BB" w:rsidP="00DE65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79B">
              <w:rPr>
                <w:rFonts w:ascii="Arial" w:hAnsi="Arial" w:cs="Arial"/>
                <w:sz w:val="16"/>
                <w:szCs w:val="20"/>
              </w:rPr>
              <w:t xml:space="preserve">   4,781,973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17F9" w14:textId="0676C15E" w:rsidR="00DE65BB" w:rsidRPr="00B231E5" w:rsidRDefault="00DE65BB" w:rsidP="00DE65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31E5">
              <w:rPr>
                <w:rFonts w:ascii="Arial" w:hAnsi="Arial" w:cs="Arial"/>
                <w:sz w:val="16"/>
                <w:szCs w:val="16"/>
              </w:rPr>
              <w:t>FAFEF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843F" w14:textId="1E3C958C" w:rsidR="00DE65BB" w:rsidRPr="0091579B" w:rsidRDefault="006C37B7" w:rsidP="00DE65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4817" w14:textId="5DA89BF9" w:rsidR="00DE65BB" w:rsidRPr="0091579B" w:rsidRDefault="00DE65BB" w:rsidP="00DE65BB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E65BB">
              <w:rPr>
                <w:rFonts w:ascii="Arial" w:hAnsi="Arial" w:cs="Arial"/>
                <w:sz w:val="16"/>
                <w:szCs w:val="20"/>
              </w:rPr>
              <w:t>440,191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8713" w14:textId="7CE713FE" w:rsidR="00DE65BB" w:rsidRPr="00DE65BB" w:rsidRDefault="00DE65BB" w:rsidP="00DE65BB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9.21</w:t>
            </w:r>
          </w:p>
        </w:tc>
      </w:tr>
      <w:tr w:rsidR="00DE65BB" w:rsidRPr="0091579B" w14:paraId="56F83027" w14:textId="77777777" w:rsidTr="0091579B">
        <w:trPr>
          <w:trHeight w:val="352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EEBA" w14:textId="4D534559" w:rsidR="00DE65BB" w:rsidRPr="00B231E5" w:rsidRDefault="00DE65BB" w:rsidP="00DE65BB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>Crédito Simple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436A" w14:textId="77777777" w:rsidR="00DE65BB" w:rsidRPr="00B231E5" w:rsidRDefault="00DE65BB" w:rsidP="00DE65BB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>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1E4A" w14:textId="77777777" w:rsidR="00DE65BB" w:rsidRPr="00B231E5" w:rsidRDefault="00DE65BB" w:rsidP="00DE65BB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>TIIE 28 DIAS + 0.30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BC1F" w14:textId="2C621BCF" w:rsidR="00DE65BB" w:rsidRPr="00B231E5" w:rsidRDefault="00DE65BB" w:rsidP="00DE65BB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>Saneamiento Financiero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D6CA" w14:textId="77777777" w:rsidR="00DE65BB" w:rsidRPr="00B231E5" w:rsidRDefault="00DE65BB" w:rsidP="00DE65BB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>Santander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E205" w14:textId="63EBD927" w:rsidR="00DE65BB" w:rsidRPr="0091579B" w:rsidRDefault="00DE65BB" w:rsidP="00DE65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79B">
              <w:rPr>
                <w:rFonts w:ascii="Arial" w:hAnsi="Arial" w:cs="Arial"/>
                <w:sz w:val="16"/>
                <w:szCs w:val="20"/>
              </w:rPr>
              <w:t xml:space="preserve">   4,660,986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9D2D" w14:textId="431C071D" w:rsidR="00DE65BB" w:rsidRPr="00B231E5" w:rsidRDefault="00DE65BB" w:rsidP="00DE65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31E5">
              <w:rPr>
                <w:rFonts w:ascii="Arial" w:hAnsi="Arial" w:cs="Arial"/>
                <w:sz w:val="16"/>
                <w:szCs w:val="16"/>
              </w:rPr>
              <w:t>FAFEF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AC81" w14:textId="1B14ACE3" w:rsidR="00DE65BB" w:rsidRPr="0091579B" w:rsidRDefault="006C37B7" w:rsidP="006C37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  <w:r w:rsidR="00DE65BB" w:rsidRPr="0091579B">
              <w:rPr>
                <w:rFonts w:ascii="Arial" w:hAnsi="Arial" w:cs="Arial"/>
                <w:sz w:val="16"/>
                <w:szCs w:val="20"/>
              </w:rPr>
              <w:t xml:space="preserve">    </w:t>
            </w:r>
            <w:r w:rsidR="00DE65BB" w:rsidRPr="00DE65BB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8C96" w14:textId="1A3B294E" w:rsidR="00DE65BB" w:rsidRPr="0091579B" w:rsidRDefault="00DE65BB" w:rsidP="00DE65BB">
            <w:pPr>
              <w:ind w:left="-135" w:firstLine="135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1579B">
              <w:rPr>
                <w:rFonts w:ascii="Arial" w:hAnsi="Arial" w:cs="Arial"/>
                <w:sz w:val="16"/>
                <w:szCs w:val="20"/>
              </w:rPr>
              <w:t xml:space="preserve">    </w:t>
            </w:r>
            <w:r w:rsidRPr="00DE65BB">
              <w:rPr>
                <w:rFonts w:ascii="Arial" w:hAnsi="Arial" w:cs="Arial"/>
                <w:sz w:val="16"/>
                <w:szCs w:val="20"/>
              </w:rPr>
              <w:t xml:space="preserve"> 441,960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010E" w14:textId="64C175F9" w:rsidR="00DE65BB" w:rsidRPr="0091579B" w:rsidRDefault="00DE65BB" w:rsidP="00DE65BB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20"/>
              </w:rPr>
              <w:t>9.48</w:t>
            </w:r>
          </w:p>
        </w:tc>
      </w:tr>
      <w:tr w:rsidR="00DE65BB" w:rsidRPr="0091579B" w14:paraId="2C1F7916" w14:textId="77777777" w:rsidTr="0091579B">
        <w:trPr>
          <w:trHeight w:val="309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3F9B" w14:textId="0E9849A4" w:rsidR="00DE65BB" w:rsidRPr="00B231E5" w:rsidRDefault="00DE65BB" w:rsidP="00DE65BB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>Crédito Simple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E551" w14:textId="77777777" w:rsidR="00DE65BB" w:rsidRPr="00B231E5" w:rsidRDefault="00DE65BB" w:rsidP="00DE65BB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>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1D42" w14:textId="77777777" w:rsidR="00DE65BB" w:rsidRPr="00B231E5" w:rsidRDefault="00DE65BB" w:rsidP="00DE65BB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>TIIE 28 DIAS + 0.32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35BC" w14:textId="4AD1B0BC" w:rsidR="00DE65BB" w:rsidRPr="00B231E5" w:rsidRDefault="00DE65BB" w:rsidP="00DE65BB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>Saneamiento Financiero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2F15" w14:textId="77777777" w:rsidR="00DE65BB" w:rsidRPr="00B231E5" w:rsidRDefault="00DE65BB" w:rsidP="00DE65BB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proofErr w:type="spellStart"/>
            <w:r w:rsidRPr="00B231E5">
              <w:rPr>
                <w:rFonts w:ascii="Arial" w:hAnsi="Arial" w:cs="Arial"/>
                <w:sz w:val="16"/>
                <w:szCs w:val="19"/>
              </w:rPr>
              <w:t>Banobras</w:t>
            </w:r>
            <w:proofErr w:type="spellEnd"/>
            <w:r w:rsidRPr="00B231E5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24E6" w14:textId="33247833" w:rsidR="00DE65BB" w:rsidRPr="0091579B" w:rsidRDefault="00DE65BB" w:rsidP="00DE65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79B">
              <w:rPr>
                <w:rFonts w:ascii="Arial" w:hAnsi="Arial" w:cs="Arial"/>
                <w:sz w:val="16"/>
                <w:szCs w:val="20"/>
              </w:rPr>
              <w:t xml:space="preserve">   3,001,097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7774" w14:textId="345DF520" w:rsidR="00DE65BB" w:rsidRPr="00B231E5" w:rsidRDefault="00DE65BB" w:rsidP="00DE65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31E5">
              <w:rPr>
                <w:rFonts w:ascii="Arial" w:hAnsi="Arial" w:cs="Arial"/>
                <w:sz w:val="16"/>
                <w:szCs w:val="16"/>
              </w:rPr>
              <w:t>FAFEF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6632" w14:textId="0339488D" w:rsidR="00DE65BB" w:rsidRPr="0091579B" w:rsidRDefault="006C37B7" w:rsidP="006C37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  <w:r w:rsidR="00DE65BB" w:rsidRPr="0091579B">
              <w:rPr>
                <w:rFonts w:ascii="Arial" w:hAnsi="Arial" w:cs="Arial"/>
                <w:sz w:val="16"/>
                <w:szCs w:val="20"/>
              </w:rPr>
              <w:t xml:space="preserve">    </w:t>
            </w:r>
            <w:r w:rsidR="00DE65BB" w:rsidRPr="00DE65BB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69D3" w14:textId="71DEDDCA" w:rsidR="00DE65BB" w:rsidRPr="0091579B" w:rsidRDefault="00DE65BB" w:rsidP="00DE65BB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1579B">
              <w:rPr>
                <w:rFonts w:ascii="Arial" w:hAnsi="Arial" w:cs="Arial"/>
                <w:sz w:val="16"/>
                <w:szCs w:val="20"/>
              </w:rPr>
              <w:t xml:space="preserve">    </w:t>
            </w:r>
            <w:r w:rsidRPr="00DE65BB">
              <w:rPr>
                <w:rFonts w:ascii="Arial" w:hAnsi="Arial" w:cs="Arial"/>
                <w:sz w:val="16"/>
                <w:szCs w:val="20"/>
              </w:rPr>
              <w:t xml:space="preserve"> 283,230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9F71" w14:textId="79DEE153" w:rsidR="00DE65BB" w:rsidRPr="0091579B" w:rsidRDefault="00DE65BB" w:rsidP="00DE65BB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20"/>
              </w:rPr>
              <w:t>9.44</w:t>
            </w:r>
          </w:p>
        </w:tc>
      </w:tr>
      <w:tr w:rsidR="00DE65BB" w:rsidRPr="0091579B" w14:paraId="1907E998" w14:textId="77777777" w:rsidTr="00DE65BB">
        <w:trPr>
          <w:trHeight w:val="309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FBF6" w14:textId="034DD80C" w:rsidR="00DE65BB" w:rsidRPr="00B231E5" w:rsidRDefault="00DE65BB" w:rsidP="00DE65BB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>Crédito Simple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E454" w14:textId="77777777" w:rsidR="00DE65BB" w:rsidRPr="00B231E5" w:rsidRDefault="00DE65BB" w:rsidP="00DE65BB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>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7429" w14:textId="77777777" w:rsidR="00DE65BB" w:rsidRPr="00B231E5" w:rsidRDefault="00DE65BB" w:rsidP="00DE65BB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>TIIE 28 DIAS + 0.29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164C" w14:textId="697602A6" w:rsidR="00DE65BB" w:rsidRPr="00B231E5" w:rsidRDefault="00DE65BB" w:rsidP="00DE65BB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>Saneamiento Financiero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2D6F" w14:textId="77777777" w:rsidR="00DE65BB" w:rsidRPr="00B231E5" w:rsidRDefault="00DE65BB" w:rsidP="00DE65BB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>Santander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F4A2" w14:textId="16C3199C" w:rsidR="00DE65BB" w:rsidRPr="0091579B" w:rsidRDefault="00DE65BB" w:rsidP="00DE65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79B">
              <w:rPr>
                <w:rFonts w:ascii="Arial" w:hAnsi="Arial" w:cs="Arial"/>
                <w:sz w:val="16"/>
                <w:szCs w:val="20"/>
              </w:rPr>
              <w:t xml:space="preserve">      998,943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C79E" w14:textId="53E9C0EE" w:rsidR="00DE65BB" w:rsidRPr="00B231E5" w:rsidRDefault="00DE65BB" w:rsidP="00DE65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31E5">
              <w:rPr>
                <w:rFonts w:ascii="Arial" w:hAnsi="Arial" w:cs="Arial"/>
                <w:sz w:val="16"/>
                <w:szCs w:val="16"/>
              </w:rPr>
              <w:t>FAFEF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A6EE" w14:textId="5E8EE2D2" w:rsidR="00DE65BB" w:rsidRPr="0091579B" w:rsidRDefault="006C37B7" w:rsidP="00DE65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CA95" w14:textId="70A53CB9" w:rsidR="00DE65BB" w:rsidRPr="00DE65BB" w:rsidRDefault="00DE65BB" w:rsidP="00DE65BB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  <w:r w:rsidRPr="00DE65BB">
              <w:rPr>
                <w:rFonts w:ascii="Arial" w:hAnsi="Arial" w:cs="Arial"/>
                <w:sz w:val="16"/>
                <w:szCs w:val="20"/>
              </w:rPr>
              <w:t xml:space="preserve"> 117,650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92F6" w14:textId="07FE6539" w:rsidR="00DE65BB" w:rsidRPr="0091579B" w:rsidRDefault="00DE65BB" w:rsidP="00DE65BB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20"/>
              </w:rPr>
              <w:t>11.78</w:t>
            </w:r>
          </w:p>
        </w:tc>
      </w:tr>
      <w:tr w:rsidR="00DE65BB" w:rsidRPr="0091579B" w14:paraId="0BE0B5C6" w14:textId="77777777" w:rsidTr="00DE65BB">
        <w:trPr>
          <w:trHeight w:val="309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3A5E" w14:textId="5C65F210" w:rsidR="00DE65BB" w:rsidRPr="00B231E5" w:rsidRDefault="00DE65BB" w:rsidP="00DE65BB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>Crédito Simple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134D" w14:textId="77777777" w:rsidR="00DE65BB" w:rsidRPr="00B231E5" w:rsidRDefault="00DE65BB" w:rsidP="00DE65BB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>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1AB5" w14:textId="77777777" w:rsidR="00DE65BB" w:rsidRPr="00B231E5" w:rsidRDefault="00DE65BB" w:rsidP="00DE65BB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>TIIE 28 DIAS + 0.40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7242" w14:textId="6F5078C9" w:rsidR="00DE65BB" w:rsidRPr="00B231E5" w:rsidRDefault="00DE65BB" w:rsidP="00DE65BB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>Saneamiento Financiero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4C61" w14:textId="77777777" w:rsidR="00DE65BB" w:rsidRPr="00B231E5" w:rsidRDefault="00DE65BB" w:rsidP="00DE65BB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proofErr w:type="spellStart"/>
            <w:r w:rsidRPr="00B231E5">
              <w:rPr>
                <w:rFonts w:ascii="Arial" w:hAnsi="Arial" w:cs="Arial"/>
                <w:sz w:val="16"/>
                <w:szCs w:val="19"/>
              </w:rPr>
              <w:t>Banobras</w:t>
            </w:r>
            <w:proofErr w:type="spellEnd"/>
            <w:r w:rsidRPr="00B231E5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0F7D" w14:textId="64392C69" w:rsidR="00DE65BB" w:rsidRPr="0091579B" w:rsidRDefault="00DE65BB" w:rsidP="00DE65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79B">
              <w:rPr>
                <w:rFonts w:ascii="Arial" w:hAnsi="Arial" w:cs="Arial"/>
                <w:sz w:val="16"/>
                <w:szCs w:val="20"/>
              </w:rPr>
              <w:t xml:space="preserve">      307,878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F7C3" w14:textId="3B35BFB1" w:rsidR="00DE65BB" w:rsidRPr="00B231E5" w:rsidRDefault="00DE65BB" w:rsidP="00DE65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31E5">
              <w:rPr>
                <w:rFonts w:ascii="Arial" w:hAnsi="Arial" w:cs="Arial"/>
                <w:sz w:val="16"/>
                <w:szCs w:val="16"/>
              </w:rPr>
              <w:t>FAFEF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ED60" w14:textId="3D7CC612" w:rsidR="00DE65BB" w:rsidRPr="0091579B" w:rsidRDefault="006C37B7" w:rsidP="006C37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472E" w14:textId="370FA2C6" w:rsidR="00DE65BB" w:rsidRPr="00DE65BB" w:rsidRDefault="00DE65BB" w:rsidP="00DE65BB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  <w:r w:rsidRPr="00DE65BB">
              <w:rPr>
                <w:rFonts w:ascii="Arial" w:hAnsi="Arial" w:cs="Arial"/>
                <w:sz w:val="16"/>
                <w:szCs w:val="20"/>
              </w:rPr>
              <w:t xml:space="preserve"> 50,430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783D" w14:textId="578821A5" w:rsidR="00DE65BB" w:rsidRPr="0091579B" w:rsidRDefault="00DE65BB" w:rsidP="00DE65BB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20"/>
              </w:rPr>
              <w:t>16.38</w:t>
            </w:r>
          </w:p>
        </w:tc>
      </w:tr>
      <w:tr w:rsidR="00DE65BB" w:rsidRPr="0091579B" w14:paraId="518B35AD" w14:textId="77777777" w:rsidTr="00DE65BB">
        <w:trPr>
          <w:trHeight w:val="309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18EA" w14:textId="4E044860" w:rsidR="00DE65BB" w:rsidRPr="00B231E5" w:rsidRDefault="00DE65BB" w:rsidP="00DE65BB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>Crédito Simple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9464" w14:textId="77777777" w:rsidR="00DE65BB" w:rsidRPr="00B231E5" w:rsidRDefault="00DE65BB" w:rsidP="00DE65BB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>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6978" w14:textId="77777777" w:rsidR="00DE65BB" w:rsidRPr="00B231E5" w:rsidRDefault="00DE65BB" w:rsidP="00DE65BB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>TIIE 28 DIAS + 0.35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C95A" w14:textId="7D36B917" w:rsidR="00DE65BB" w:rsidRPr="00B231E5" w:rsidRDefault="00DE65BB" w:rsidP="00DE65BB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>Saneamiento Financiero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7AB5" w14:textId="77777777" w:rsidR="00DE65BB" w:rsidRPr="00B231E5" w:rsidRDefault="00DE65BB" w:rsidP="00DE65BB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proofErr w:type="spellStart"/>
            <w:r w:rsidRPr="00B231E5">
              <w:rPr>
                <w:rFonts w:ascii="Arial" w:hAnsi="Arial" w:cs="Arial"/>
                <w:sz w:val="16"/>
                <w:szCs w:val="19"/>
              </w:rPr>
              <w:t>Banobras</w:t>
            </w:r>
            <w:proofErr w:type="spellEnd"/>
            <w:r w:rsidRPr="00B231E5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32B7" w14:textId="70F7B557" w:rsidR="00DE65BB" w:rsidRPr="0091579B" w:rsidRDefault="00DE65BB" w:rsidP="00DE65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79B">
              <w:rPr>
                <w:rFonts w:ascii="Arial" w:hAnsi="Arial" w:cs="Arial"/>
                <w:sz w:val="16"/>
                <w:szCs w:val="20"/>
              </w:rPr>
              <w:t xml:space="preserve">   1,923,830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82D3" w14:textId="185A51B5" w:rsidR="00DE65BB" w:rsidRPr="00B231E5" w:rsidRDefault="00DE65BB" w:rsidP="00DE65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31E5">
              <w:rPr>
                <w:rFonts w:ascii="Arial" w:hAnsi="Arial" w:cs="Arial"/>
                <w:sz w:val="16"/>
                <w:szCs w:val="16"/>
              </w:rPr>
              <w:t>FAFEF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CB85" w14:textId="2AA08382" w:rsidR="00DE65BB" w:rsidRPr="0091579B" w:rsidRDefault="006C37B7" w:rsidP="006C37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  <w:r w:rsidR="00DE65BB">
              <w:rPr>
                <w:rFonts w:ascii="Arial" w:hAnsi="Arial" w:cs="Arial"/>
                <w:sz w:val="16"/>
                <w:szCs w:val="20"/>
              </w:rPr>
              <w:t xml:space="preserve"> 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7253" w14:textId="69BCE275" w:rsidR="00DE65BB" w:rsidRPr="00DE65BB" w:rsidRDefault="00DE65BB" w:rsidP="00DE65BB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  <w:r w:rsidRPr="00DE65BB">
              <w:rPr>
                <w:rFonts w:ascii="Arial" w:hAnsi="Arial" w:cs="Arial"/>
                <w:sz w:val="16"/>
                <w:szCs w:val="20"/>
              </w:rPr>
              <w:t xml:space="preserve"> 230,257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BF29" w14:textId="3FF0FB91" w:rsidR="00DE65BB" w:rsidRPr="0091579B" w:rsidRDefault="00DE65BB" w:rsidP="00DE65BB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20"/>
              </w:rPr>
              <w:t>11.97</w:t>
            </w:r>
          </w:p>
        </w:tc>
      </w:tr>
      <w:tr w:rsidR="00DE65BB" w:rsidRPr="0091579B" w14:paraId="7A9360F7" w14:textId="77777777" w:rsidTr="0091579B">
        <w:trPr>
          <w:trHeight w:val="309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0703" w14:textId="15595F52" w:rsidR="00DE65BB" w:rsidRPr="00B231E5" w:rsidRDefault="00DE65BB" w:rsidP="00DE65BB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>Crédito Simple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DDC7" w14:textId="77777777" w:rsidR="00DE65BB" w:rsidRPr="00B231E5" w:rsidRDefault="00DE65BB" w:rsidP="00DE65BB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>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CD0C" w14:textId="77777777" w:rsidR="00DE65BB" w:rsidRPr="00B231E5" w:rsidRDefault="00DE65BB" w:rsidP="00DE65BB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>TIIE 28 DIAS + 0.34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1036" w14:textId="3767B426" w:rsidR="00DE65BB" w:rsidRPr="00B231E5" w:rsidRDefault="00DE65BB" w:rsidP="00DE65BB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>Saneamiento Financiero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D311" w14:textId="77777777" w:rsidR="00DE65BB" w:rsidRPr="00B231E5" w:rsidRDefault="00DE65BB" w:rsidP="00DE65BB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proofErr w:type="spellStart"/>
            <w:r w:rsidRPr="00B231E5">
              <w:rPr>
                <w:rFonts w:ascii="Arial" w:hAnsi="Arial" w:cs="Arial"/>
                <w:sz w:val="16"/>
                <w:szCs w:val="19"/>
              </w:rPr>
              <w:t>Banobras</w:t>
            </w:r>
            <w:proofErr w:type="spellEnd"/>
            <w:r w:rsidRPr="00B231E5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F8C9" w14:textId="6D6EBA44" w:rsidR="00DE65BB" w:rsidRPr="0091579B" w:rsidRDefault="00DE65BB" w:rsidP="00DE65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79B">
              <w:rPr>
                <w:rFonts w:ascii="Arial" w:hAnsi="Arial" w:cs="Arial"/>
                <w:sz w:val="16"/>
                <w:szCs w:val="20"/>
              </w:rPr>
              <w:t xml:space="preserve">      136,070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070C" w14:textId="5C3D9E08" w:rsidR="00DE65BB" w:rsidRPr="00B231E5" w:rsidRDefault="00DE65BB" w:rsidP="00DE65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31E5">
              <w:rPr>
                <w:rFonts w:ascii="Arial" w:hAnsi="Arial" w:cs="Arial"/>
                <w:sz w:val="16"/>
                <w:szCs w:val="16"/>
              </w:rPr>
              <w:t>FAFEF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0A8A" w14:textId="195A51C1" w:rsidR="00DE65BB" w:rsidRPr="0091579B" w:rsidRDefault="006C37B7" w:rsidP="00DE65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  <w:r>
              <w:rPr>
                <w:rFonts w:ascii="Arial" w:hAnsi="Arial" w:cs="Arial"/>
                <w:sz w:val="16"/>
                <w:szCs w:val="20"/>
              </w:rPr>
              <w:t xml:space="preserve"> 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05EE" w14:textId="4EBDCFD3" w:rsidR="00DE65BB" w:rsidRPr="0091579B" w:rsidRDefault="00DE65BB" w:rsidP="00DE65BB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E65BB">
              <w:rPr>
                <w:rFonts w:ascii="Arial" w:hAnsi="Arial" w:cs="Arial"/>
                <w:sz w:val="16"/>
                <w:szCs w:val="20"/>
              </w:rPr>
              <w:t>12,989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6555" w14:textId="0288013E" w:rsidR="00DE65BB" w:rsidRPr="0091579B" w:rsidRDefault="00DE65BB" w:rsidP="00DE65BB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20"/>
              </w:rPr>
              <w:t>9.55</w:t>
            </w:r>
          </w:p>
        </w:tc>
      </w:tr>
      <w:tr w:rsidR="00DE65BB" w:rsidRPr="0091579B" w14:paraId="092C2F53" w14:textId="77777777" w:rsidTr="0091579B">
        <w:trPr>
          <w:trHeight w:val="309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E3F0" w14:textId="20AA9B77" w:rsidR="00DE65BB" w:rsidRPr="00B231E5" w:rsidRDefault="00DE65BB" w:rsidP="00DE65BB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>Crédito Simple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1993" w14:textId="77777777" w:rsidR="00DE65BB" w:rsidRPr="00B231E5" w:rsidRDefault="00DE65BB" w:rsidP="00DE65BB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>14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D666" w14:textId="77777777" w:rsidR="00DE65BB" w:rsidRPr="00B231E5" w:rsidRDefault="00DE65BB" w:rsidP="00DE65BB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>TIIE 28 DIAS - 8.14+ 0.84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E82A" w14:textId="2076D4F9" w:rsidR="00DE65BB" w:rsidRPr="00B231E5" w:rsidRDefault="00DE65BB" w:rsidP="00DE65BB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>Saneamiento Financiero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5651" w14:textId="77777777" w:rsidR="00DE65BB" w:rsidRPr="00B231E5" w:rsidRDefault="00DE65BB" w:rsidP="00DE65BB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proofErr w:type="spellStart"/>
            <w:r w:rsidRPr="00B231E5">
              <w:rPr>
                <w:rFonts w:ascii="Arial" w:hAnsi="Arial" w:cs="Arial"/>
                <w:sz w:val="16"/>
                <w:szCs w:val="19"/>
              </w:rPr>
              <w:t>Banobras</w:t>
            </w:r>
            <w:proofErr w:type="spellEnd"/>
            <w:r w:rsidRPr="00B231E5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5111" w14:textId="530146FE" w:rsidR="00DE65BB" w:rsidRPr="0091579B" w:rsidRDefault="00DE65BB" w:rsidP="00DE65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79B">
              <w:rPr>
                <w:rFonts w:ascii="Arial" w:hAnsi="Arial" w:cs="Arial"/>
                <w:sz w:val="16"/>
                <w:szCs w:val="20"/>
              </w:rPr>
              <w:t xml:space="preserve">      308,635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EBBE" w14:textId="5BE055CE" w:rsidR="00DE65BB" w:rsidRPr="00B231E5" w:rsidRDefault="00DE65BB" w:rsidP="00DE65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31E5">
              <w:rPr>
                <w:rFonts w:ascii="Arial" w:hAnsi="Arial" w:cs="Arial"/>
                <w:sz w:val="16"/>
                <w:szCs w:val="16"/>
              </w:rPr>
              <w:t>FAFEF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A787" w14:textId="750DDDAB" w:rsidR="00DE65BB" w:rsidRPr="0091579B" w:rsidRDefault="006C37B7" w:rsidP="00DE65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8ECE" w14:textId="7B3C6392" w:rsidR="00DE65BB" w:rsidRPr="0091579B" w:rsidRDefault="00DE65BB" w:rsidP="00DE65BB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E65BB">
              <w:rPr>
                <w:rFonts w:ascii="Arial" w:hAnsi="Arial" w:cs="Arial"/>
                <w:sz w:val="16"/>
                <w:szCs w:val="20"/>
              </w:rPr>
              <w:t>41,824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477C" w14:textId="59DFAEEB" w:rsidR="00DE65BB" w:rsidRPr="0091579B" w:rsidRDefault="00DE65BB" w:rsidP="00DE65BB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1579B">
              <w:rPr>
                <w:rFonts w:ascii="Arial" w:hAnsi="Arial" w:cs="Arial"/>
                <w:sz w:val="16"/>
                <w:szCs w:val="20"/>
              </w:rPr>
              <w:t>13.55</w:t>
            </w:r>
          </w:p>
        </w:tc>
      </w:tr>
      <w:tr w:rsidR="00DE65BB" w:rsidRPr="0091579B" w14:paraId="71714673" w14:textId="77777777" w:rsidTr="005137C9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E113" w14:textId="0ACE9BA9" w:rsidR="00DE65BB" w:rsidRPr="00B231E5" w:rsidRDefault="00DE65BB" w:rsidP="00DE65BB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73554C">
              <w:rPr>
                <w:rFonts w:ascii="Arial" w:hAnsi="Arial" w:cs="Arial"/>
                <w:sz w:val="16"/>
                <w:szCs w:val="19"/>
              </w:rPr>
              <w:t>Crédito Simple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64915" w14:textId="1653AA49" w:rsidR="00DE65BB" w:rsidRPr="0091579B" w:rsidRDefault="00DE65BB" w:rsidP="00DE65BB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91579B">
              <w:rPr>
                <w:rFonts w:ascii="Arial" w:hAnsi="Arial" w:cs="Arial"/>
                <w:sz w:val="16"/>
                <w:szCs w:val="20"/>
              </w:rPr>
              <w:t>20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E606E" w14:textId="4D5689AB" w:rsidR="00DE65BB" w:rsidRPr="00D16838" w:rsidRDefault="00DE65BB" w:rsidP="00DE65BB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D16838">
              <w:rPr>
                <w:sz w:val="16"/>
              </w:rPr>
              <w:t>TIIE 28 DIAS + 0.25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61F79" w14:textId="333661C9" w:rsidR="00DE65BB" w:rsidRPr="00B231E5" w:rsidRDefault="00DE65BB" w:rsidP="00DE65BB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B06420">
              <w:rPr>
                <w:rFonts w:ascii="Arial" w:hAnsi="Arial" w:cs="Arial"/>
                <w:sz w:val="16"/>
                <w:szCs w:val="19"/>
              </w:rPr>
              <w:t>Saneamiento Financiero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31AE" w14:textId="7FF36AF9" w:rsidR="00DE65BB" w:rsidRPr="00D16838" w:rsidRDefault="00DE65BB" w:rsidP="00DE65BB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D16838">
              <w:rPr>
                <w:rFonts w:ascii="Arial" w:hAnsi="Arial" w:cs="Arial"/>
                <w:sz w:val="16"/>
                <w:szCs w:val="20"/>
              </w:rPr>
              <w:t>Santander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8E069" w14:textId="730D661F" w:rsidR="00DE65BB" w:rsidRPr="0091579B" w:rsidRDefault="00DE65BB" w:rsidP="00DE65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79B">
              <w:rPr>
                <w:rFonts w:ascii="Arial" w:hAnsi="Arial" w:cs="Arial"/>
                <w:sz w:val="16"/>
                <w:szCs w:val="20"/>
              </w:rPr>
              <w:t xml:space="preserve">   1,497,680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61442" w14:textId="08974E11" w:rsidR="00DE65BB" w:rsidRPr="00B231E5" w:rsidRDefault="00DE65BB" w:rsidP="00DE65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282">
              <w:rPr>
                <w:rFonts w:ascii="Arial" w:hAnsi="Arial" w:cs="Arial"/>
                <w:sz w:val="16"/>
                <w:szCs w:val="16"/>
              </w:rPr>
              <w:t>FAFEF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3E1F8" w14:textId="38FF22B2" w:rsidR="00DE65BB" w:rsidRPr="0091579B" w:rsidRDefault="006C37B7" w:rsidP="006C37B7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  <w:r>
              <w:rPr>
                <w:rFonts w:ascii="Arial" w:hAnsi="Arial" w:cs="Arial"/>
                <w:sz w:val="16"/>
                <w:szCs w:val="20"/>
              </w:rPr>
              <w:t xml:space="preserve">       </w:t>
            </w:r>
            <w:r w:rsidR="00DE65BB" w:rsidRPr="0091579B">
              <w:rPr>
                <w:rFonts w:ascii="Arial" w:hAnsi="Arial" w:cs="Arial"/>
                <w:sz w:val="16"/>
                <w:szCs w:val="20"/>
              </w:rPr>
              <w:t xml:space="preserve">        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0D78F" w14:textId="568F0C61" w:rsidR="00DE65BB" w:rsidRPr="0091579B" w:rsidRDefault="00DE65BB" w:rsidP="00DE65BB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  <w:r w:rsidRPr="0091579B">
              <w:rPr>
                <w:rFonts w:ascii="Arial" w:hAnsi="Arial" w:cs="Arial"/>
                <w:sz w:val="16"/>
                <w:szCs w:val="20"/>
              </w:rPr>
              <w:t xml:space="preserve">         41,867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A7B85" w14:textId="75465153" w:rsidR="00DE65BB" w:rsidRPr="0091579B" w:rsidRDefault="00DE65BB" w:rsidP="00DE65BB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  <w:r w:rsidRPr="0091579B">
              <w:rPr>
                <w:rFonts w:ascii="Arial" w:hAnsi="Arial" w:cs="Arial"/>
                <w:sz w:val="16"/>
                <w:szCs w:val="20"/>
              </w:rPr>
              <w:t>2.80</w:t>
            </w:r>
          </w:p>
        </w:tc>
      </w:tr>
      <w:tr w:rsidR="00DE65BB" w:rsidRPr="0091579B" w14:paraId="7FE828F7" w14:textId="77777777" w:rsidTr="005137C9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C97D" w14:textId="4852291F" w:rsidR="00DE65BB" w:rsidRPr="00B231E5" w:rsidRDefault="00DE65BB" w:rsidP="00DE65BB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73554C">
              <w:rPr>
                <w:rFonts w:ascii="Arial" w:hAnsi="Arial" w:cs="Arial"/>
                <w:sz w:val="16"/>
                <w:szCs w:val="19"/>
              </w:rPr>
              <w:t>Crédito Simple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295C2" w14:textId="22B88099" w:rsidR="00DE65BB" w:rsidRPr="0091579B" w:rsidRDefault="00DE65BB" w:rsidP="00DE65BB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91579B">
              <w:rPr>
                <w:rFonts w:ascii="Arial" w:hAnsi="Arial" w:cs="Arial"/>
                <w:sz w:val="16"/>
                <w:szCs w:val="20"/>
              </w:rPr>
              <w:t>25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7E2AF" w14:textId="0BEC4D46" w:rsidR="00DE65BB" w:rsidRPr="00D16838" w:rsidRDefault="00DE65BB" w:rsidP="00DE65BB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D16838">
              <w:rPr>
                <w:sz w:val="16"/>
              </w:rPr>
              <w:t>TIIE 28 DIAS + 0.28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017B0" w14:textId="13006095" w:rsidR="00DE65BB" w:rsidRPr="00B231E5" w:rsidRDefault="00DE65BB" w:rsidP="00DE65BB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B06420">
              <w:rPr>
                <w:rFonts w:ascii="Arial" w:hAnsi="Arial" w:cs="Arial"/>
                <w:sz w:val="16"/>
                <w:szCs w:val="19"/>
              </w:rPr>
              <w:t>Saneamiento Financiero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89B0" w14:textId="385BC4CC" w:rsidR="00DE65BB" w:rsidRPr="00D16838" w:rsidRDefault="00DE65BB" w:rsidP="00DE65BB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D16838">
              <w:rPr>
                <w:rFonts w:ascii="Arial" w:hAnsi="Arial" w:cs="Arial"/>
                <w:sz w:val="16"/>
                <w:szCs w:val="20"/>
              </w:rPr>
              <w:t>Santander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3FB1B" w14:textId="6413AA05" w:rsidR="00DE65BB" w:rsidRPr="0091579B" w:rsidRDefault="00DE65BB" w:rsidP="00DE65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79B">
              <w:rPr>
                <w:rFonts w:ascii="Arial" w:hAnsi="Arial" w:cs="Arial"/>
                <w:sz w:val="16"/>
                <w:szCs w:val="20"/>
              </w:rPr>
              <w:t xml:space="preserve">   1,497,680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5104D" w14:textId="2F9AA889" w:rsidR="00DE65BB" w:rsidRPr="00B231E5" w:rsidRDefault="00DE65BB" w:rsidP="00DE65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282">
              <w:rPr>
                <w:rFonts w:ascii="Arial" w:hAnsi="Arial" w:cs="Arial"/>
                <w:sz w:val="16"/>
                <w:szCs w:val="16"/>
              </w:rPr>
              <w:t>FAFEF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F3D7A" w14:textId="2EE2C861" w:rsidR="00DE65BB" w:rsidRPr="0091579B" w:rsidRDefault="006C37B7" w:rsidP="006C37B7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  <w:r>
              <w:rPr>
                <w:rFonts w:ascii="Arial" w:hAnsi="Arial" w:cs="Arial"/>
                <w:sz w:val="16"/>
                <w:szCs w:val="20"/>
              </w:rPr>
              <w:t xml:space="preserve">       </w:t>
            </w:r>
            <w:r w:rsidR="00DE65BB" w:rsidRPr="0091579B">
              <w:rPr>
                <w:rFonts w:ascii="Arial" w:hAnsi="Arial" w:cs="Arial"/>
                <w:sz w:val="16"/>
                <w:szCs w:val="20"/>
              </w:rPr>
              <w:t xml:space="preserve">        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6538C" w14:textId="0B514EE6" w:rsidR="00DE65BB" w:rsidRPr="0091579B" w:rsidRDefault="00DE65BB" w:rsidP="00DE65BB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  <w:r w:rsidRPr="0091579B">
              <w:rPr>
                <w:rFonts w:ascii="Arial" w:hAnsi="Arial" w:cs="Arial"/>
                <w:sz w:val="16"/>
                <w:szCs w:val="20"/>
              </w:rPr>
              <w:t xml:space="preserve">         41,869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02714" w14:textId="25AAC2D5" w:rsidR="00DE65BB" w:rsidRPr="0091579B" w:rsidRDefault="00DE65BB" w:rsidP="00DE65BB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  <w:r w:rsidRPr="0091579B">
              <w:rPr>
                <w:rFonts w:ascii="Arial" w:hAnsi="Arial" w:cs="Arial"/>
                <w:sz w:val="16"/>
                <w:szCs w:val="20"/>
              </w:rPr>
              <w:t>2.80</w:t>
            </w:r>
          </w:p>
        </w:tc>
      </w:tr>
      <w:tr w:rsidR="00DE65BB" w:rsidRPr="0091579B" w14:paraId="35F12A95" w14:textId="77777777" w:rsidTr="005137C9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22F6B" w14:textId="1085F133" w:rsidR="00DE65BB" w:rsidRPr="00B231E5" w:rsidRDefault="00DE65BB" w:rsidP="00DE65BB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73554C">
              <w:rPr>
                <w:rFonts w:ascii="Arial" w:hAnsi="Arial" w:cs="Arial"/>
                <w:sz w:val="16"/>
                <w:szCs w:val="19"/>
              </w:rPr>
              <w:t>Crédito Simple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1EDB1" w14:textId="1B2A2B67" w:rsidR="00DE65BB" w:rsidRPr="0091579B" w:rsidRDefault="00DE65BB" w:rsidP="00DE65BB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91579B">
              <w:rPr>
                <w:rFonts w:ascii="Arial" w:hAnsi="Arial" w:cs="Arial"/>
                <w:sz w:val="16"/>
                <w:szCs w:val="20"/>
              </w:rPr>
              <w:t>25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86A1" w14:textId="035D3C58" w:rsidR="00DE65BB" w:rsidRPr="00D16838" w:rsidRDefault="00DE65BB" w:rsidP="00DE65BB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D16838">
              <w:rPr>
                <w:sz w:val="16"/>
              </w:rPr>
              <w:t>TIIE 28 DIAS + 0.30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19478" w14:textId="7D82E66C" w:rsidR="00DE65BB" w:rsidRPr="00B231E5" w:rsidRDefault="00DE65BB" w:rsidP="00DE65BB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B06420">
              <w:rPr>
                <w:rFonts w:ascii="Arial" w:hAnsi="Arial" w:cs="Arial"/>
                <w:sz w:val="16"/>
                <w:szCs w:val="19"/>
              </w:rPr>
              <w:t>Saneamiento Financiero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9B275" w14:textId="3399A725" w:rsidR="00DE65BB" w:rsidRPr="00D16838" w:rsidRDefault="00DE65BB" w:rsidP="00DE65BB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D16838">
              <w:rPr>
                <w:rFonts w:ascii="Arial" w:hAnsi="Arial" w:cs="Arial"/>
                <w:sz w:val="16"/>
                <w:szCs w:val="20"/>
              </w:rPr>
              <w:t>Santander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01DE0" w14:textId="616E7E45" w:rsidR="00DE65BB" w:rsidRPr="0091579B" w:rsidRDefault="00DE65BB" w:rsidP="00DE65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79B">
              <w:rPr>
                <w:rFonts w:ascii="Arial" w:hAnsi="Arial" w:cs="Arial"/>
                <w:sz w:val="16"/>
                <w:szCs w:val="20"/>
              </w:rPr>
              <w:t xml:space="preserve">   1,467,986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6FF60" w14:textId="5B4058C0" w:rsidR="00DE65BB" w:rsidRPr="00B231E5" w:rsidRDefault="00DE65BB" w:rsidP="00DE65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282">
              <w:rPr>
                <w:rFonts w:ascii="Arial" w:hAnsi="Arial" w:cs="Arial"/>
                <w:sz w:val="16"/>
                <w:szCs w:val="16"/>
              </w:rPr>
              <w:t>FAFEF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00062" w14:textId="4D2DF02D" w:rsidR="00DE65BB" w:rsidRPr="0091579B" w:rsidRDefault="006C37B7" w:rsidP="00DE65BB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  <w:r>
              <w:rPr>
                <w:rFonts w:ascii="Arial" w:hAnsi="Arial" w:cs="Arial"/>
                <w:sz w:val="16"/>
                <w:szCs w:val="20"/>
              </w:rPr>
              <w:t xml:space="preserve">      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B88C4" w14:textId="15D6CEE7" w:rsidR="00DE65BB" w:rsidRPr="0091579B" w:rsidRDefault="00DE65BB" w:rsidP="00DE65BB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  <w:r w:rsidRPr="00DE65BB">
              <w:rPr>
                <w:rFonts w:ascii="Arial" w:hAnsi="Arial" w:cs="Arial"/>
                <w:sz w:val="16"/>
                <w:szCs w:val="20"/>
              </w:rPr>
              <w:t>36,891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A6E2" w14:textId="23012B97" w:rsidR="00DE65BB" w:rsidRPr="0091579B" w:rsidRDefault="00DE65BB" w:rsidP="00DE65BB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  <w:r w:rsidRPr="0091579B">
              <w:rPr>
                <w:rFonts w:ascii="Arial" w:hAnsi="Arial" w:cs="Arial"/>
                <w:sz w:val="16"/>
                <w:szCs w:val="20"/>
              </w:rPr>
              <w:t>2.80</w:t>
            </w:r>
          </w:p>
        </w:tc>
      </w:tr>
      <w:tr w:rsidR="00DE65BB" w:rsidRPr="0091579B" w14:paraId="26DE3225" w14:textId="77777777" w:rsidTr="005137C9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E62C" w14:textId="21CEC695" w:rsidR="00DE65BB" w:rsidRPr="00B231E5" w:rsidRDefault="00DE65BB" w:rsidP="00DE65BB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73554C">
              <w:rPr>
                <w:rFonts w:ascii="Arial" w:hAnsi="Arial" w:cs="Arial"/>
                <w:sz w:val="16"/>
                <w:szCs w:val="19"/>
              </w:rPr>
              <w:t>Crédito Simple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DDDF6" w14:textId="3BCFBC46" w:rsidR="00DE65BB" w:rsidRPr="0091579B" w:rsidRDefault="00DE65BB" w:rsidP="00DE65BB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91579B">
              <w:rPr>
                <w:rFonts w:ascii="Arial" w:hAnsi="Arial" w:cs="Arial"/>
                <w:sz w:val="16"/>
                <w:szCs w:val="20"/>
              </w:rPr>
              <w:t>25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8CDC8" w14:textId="2AE09B24" w:rsidR="00DE65BB" w:rsidRPr="00D16838" w:rsidRDefault="00DE65BB" w:rsidP="00DE65BB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D16838">
              <w:rPr>
                <w:sz w:val="16"/>
              </w:rPr>
              <w:t>TIIE 28 DIAS + 0.45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B39F6" w14:textId="14A4F3A9" w:rsidR="00DE65BB" w:rsidRPr="00B231E5" w:rsidRDefault="00DE65BB" w:rsidP="00DE65BB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B06420">
              <w:rPr>
                <w:rFonts w:ascii="Arial" w:hAnsi="Arial" w:cs="Arial"/>
                <w:sz w:val="16"/>
                <w:szCs w:val="19"/>
              </w:rPr>
              <w:t>Saneamiento Financiero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8E13" w14:textId="28ADF289" w:rsidR="00DE65BB" w:rsidRPr="00D16838" w:rsidRDefault="00DE65BB" w:rsidP="00DE65BB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proofErr w:type="spellStart"/>
            <w:r w:rsidRPr="00D16838">
              <w:rPr>
                <w:rFonts w:ascii="Arial" w:hAnsi="Arial" w:cs="Arial"/>
                <w:sz w:val="16"/>
                <w:szCs w:val="20"/>
              </w:rPr>
              <w:t>Banobras</w:t>
            </w:r>
            <w:proofErr w:type="spellEnd"/>
            <w:r w:rsidRPr="00D16838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6448B" w14:textId="66EF11F4" w:rsidR="00DE65BB" w:rsidRPr="0091579B" w:rsidRDefault="00DE65BB" w:rsidP="00DE65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79B">
              <w:rPr>
                <w:rFonts w:ascii="Arial" w:hAnsi="Arial" w:cs="Arial"/>
                <w:sz w:val="16"/>
                <w:szCs w:val="20"/>
              </w:rPr>
              <w:t xml:space="preserve">      984,152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079F0" w14:textId="4E999471" w:rsidR="00DE65BB" w:rsidRPr="00B231E5" w:rsidRDefault="00DE65BB" w:rsidP="00DE65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282">
              <w:rPr>
                <w:rFonts w:ascii="Arial" w:hAnsi="Arial" w:cs="Arial"/>
                <w:sz w:val="16"/>
                <w:szCs w:val="16"/>
              </w:rPr>
              <w:t>FAFEF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2C62D" w14:textId="7663DE5D" w:rsidR="00DE65BB" w:rsidRPr="0091579B" w:rsidRDefault="006C37B7" w:rsidP="00DE65BB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  <w:r>
              <w:rPr>
                <w:rFonts w:ascii="Arial" w:hAnsi="Arial" w:cs="Arial"/>
                <w:sz w:val="16"/>
                <w:szCs w:val="20"/>
              </w:rPr>
              <w:t xml:space="preserve">      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98BF6" w14:textId="6F5DBBDE" w:rsidR="00DE65BB" w:rsidRPr="0091579B" w:rsidRDefault="00DE65BB" w:rsidP="00DE65BB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  <w:r w:rsidRPr="00DE65BB">
              <w:rPr>
                <w:rFonts w:ascii="Arial" w:hAnsi="Arial" w:cs="Arial"/>
                <w:sz w:val="16"/>
                <w:szCs w:val="20"/>
              </w:rPr>
              <w:t>23,608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B0727" w14:textId="7168F3F7" w:rsidR="00DE65BB" w:rsidRPr="0091579B" w:rsidRDefault="00DE65BB" w:rsidP="00DE65BB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  <w:r w:rsidRPr="0091579B">
              <w:rPr>
                <w:rFonts w:ascii="Arial" w:hAnsi="Arial" w:cs="Arial"/>
                <w:sz w:val="16"/>
                <w:szCs w:val="20"/>
              </w:rPr>
              <w:t>2.</w:t>
            </w:r>
            <w:r>
              <w:rPr>
                <w:rFonts w:ascii="Arial" w:hAnsi="Arial" w:cs="Arial"/>
                <w:sz w:val="16"/>
                <w:szCs w:val="20"/>
              </w:rPr>
              <w:t>40</w:t>
            </w:r>
          </w:p>
        </w:tc>
      </w:tr>
      <w:tr w:rsidR="00D16838" w:rsidRPr="0091579B" w14:paraId="567496FF" w14:textId="77777777" w:rsidTr="005137C9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0DA4" w14:textId="17245059" w:rsidR="00D16838" w:rsidRPr="00B231E5" w:rsidRDefault="00D16838" w:rsidP="00D16838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73554C">
              <w:rPr>
                <w:rFonts w:ascii="Arial" w:hAnsi="Arial" w:cs="Arial"/>
                <w:sz w:val="16"/>
                <w:szCs w:val="19"/>
              </w:rPr>
              <w:t>Crédito Simple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D1987" w14:textId="2B76A990" w:rsidR="00D16838" w:rsidRPr="0091579B" w:rsidRDefault="00D16838" w:rsidP="00D16838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91579B">
              <w:rPr>
                <w:rFonts w:ascii="Arial" w:hAnsi="Arial" w:cs="Arial"/>
                <w:sz w:val="16"/>
                <w:szCs w:val="20"/>
              </w:rPr>
              <w:t>20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93ECA" w14:textId="05AC7D23" w:rsidR="00D16838" w:rsidRPr="00D16838" w:rsidRDefault="00D16838" w:rsidP="00D16838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D16838">
              <w:rPr>
                <w:sz w:val="16"/>
              </w:rPr>
              <w:t>TIIE 28 DIAS + 0.35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A90D7" w14:textId="672B116A" w:rsidR="00D16838" w:rsidRPr="00B231E5" w:rsidRDefault="00D16838" w:rsidP="00D16838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B06420">
              <w:rPr>
                <w:rFonts w:ascii="Arial" w:hAnsi="Arial" w:cs="Arial"/>
                <w:sz w:val="16"/>
                <w:szCs w:val="19"/>
              </w:rPr>
              <w:t>Saneamiento Financiero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708F" w14:textId="343E3F2C" w:rsidR="00D16838" w:rsidRPr="00D16838" w:rsidRDefault="00D16838" w:rsidP="00D16838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proofErr w:type="spellStart"/>
            <w:r w:rsidRPr="00D16838">
              <w:rPr>
                <w:rFonts w:ascii="Arial" w:hAnsi="Arial" w:cs="Arial"/>
                <w:sz w:val="16"/>
                <w:szCs w:val="20"/>
              </w:rPr>
              <w:t>Banobras</w:t>
            </w:r>
            <w:proofErr w:type="spellEnd"/>
            <w:r w:rsidRPr="00D16838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1D95F" w14:textId="7C90A543" w:rsidR="00D16838" w:rsidRPr="0091579B" w:rsidRDefault="00D16838" w:rsidP="00D168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79B">
              <w:rPr>
                <w:rFonts w:ascii="Arial" w:hAnsi="Arial" w:cs="Arial"/>
                <w:sz w:val="16"/>
                <w:szCs w:val="20"/>
              </w:rPr>
              <w:t xml:space="preserve">   3,973,671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CC690" w14:textId="74E092F5" w:rsidR="00D16838" w:rsidRPr="00B231E5" w:rsidRDefault="00D16838" w:rsidP="00D168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282">
              <w:rPr>
                <w:rFonts w:ascii="Arial" w:hAnsi="Arial" w:cs="Arial"/>
                <w:sz w:val="16"/>
                <w:szCs w:val="16"/>
              </w:rPr>
              <w:t>FAFEF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A4CDD" w14:textId="705684D4" w:rsidR="00D16838" w:rsidRPr="0091579B" w:rsidRDefault="006C37B7" w:rsidP="006C37B7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  <w:r>
              <w:rPr>
                <w:rFonts w:ascii="Arial" w:hAnsi="Arial" w:cs="Arial"/>
                <w:sz w:val="16"/>
                <w:szCs w:val="20"/>
              </w:rPr>
              <w:t xml:space="preserve">       </w:t>
            </w:r>
            <w:r w:rsidR="00D16838">
              <w:rPr>
                <w:rFonts w:ascii="Arial" w:hAnsi="Arial" w:cs="Arial"/>
                <w:sz w:val="16"/>
                <w:szCs w:val="20"/>
              </w:rPr>
              <w:t xml:space="preserve">       </w:t>
            </w:r>
            <w:r w:rsidR="00DE65BB" w:rsidRPr="00DE65BB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3B039" w14:textId="4F3A1BF4" w:rsidR="00D16838" w:rsidRPr="0091579B" w:rsidRDefault="00DE65BB" w:rsidP="00D16838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  <w:r w:rsidRPr="00DE65BB">
              <w:rPr>
                <w:rFonts w:ascii="Arial" w:hAnsi="Arial" w:cs="Arial"/>
                <w:sz w:val="16"/>
                <w:szCs w:val="20"/>
              </w:rPr>
              <w:t>76,178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C50CC" w14:textId="298B5293" w:rsidR="00D16838" w:rsidRPr="0091579B" w:rsidRDefault="00DE65BB" w:rsidP="00D16838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1.92</w:t>
            </w:r>
          </w:p>
        </w:tc>
      </w:tr>
      <w:tr w:rsidR="00D16838" w:rsidRPr="0091579B" w14:paraId="47D81992" w14:textId="77777777" w:rsidTr="005137C9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8BE9" w14:textId="7A47FA5A" w:rsidR="00D16838" w:rsidRPr="00B231E5" w:rsidRDefault="00D16838" w:rsidP="00D16838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73554C">
              <w:rPr>
                <w:rFonts w:ascii="Arial" w:hAnsi="Arial" w:cs="Arial"/>
                <w:sz w:val="16"/>
                <w:szCs w:val="19"/>
              </w:rPr>
              <w:t>Crédito Simple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B2943" w14:textId="0253D4E1" w:rsidR="00D16838" w:rsidRPr="0091579B" w:rsidRDefault="00D16838" w:rsidP="00D16838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91579B">
              <w:rPr>
                <w:rFonts w:ascii="Arial" w:hAnsi="Arial" w:cs="Arial"/>
                <w:sz w:val="16"/>
                <w:szCs w:val="20"/>
              </w:rPr>
              <w:t>20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AAAFC" w14:textId="45495F03" w:rsidR="00D16838" w:rsidRPr="00D16838" w:rsidRDefault="00D16838" w:rsidP="00D16838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D16838">
              <w:rPr>
                <w:sz w:val="16"/>
              </w:rPr>
              <w:t>TIIE 28 DIAS + 0.39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E4F81" w14:textId="365C4FA6" w:rsidR="00D16838" w:rsidRPr="00B231E5" w:rsidRDefault="00D16838" w:rsidP="00D16838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B06420">
              <w:rPr>
                <w:rFonts w:ascii="Arial" w:hAnsi="Arial" w:cs="Arial"/>
                <w:sz w:val="16"/>
                <w:szCs w:val="19"/>
              </w:rPr>
              <w:t>Saneamiento Financiero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C60D" w14:textId="530A46D0" w:rsidR="00D16838" w:rsidRPr="00D16838" w:rsidRDefault="00D16838" w:rsidP="00D16838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proofErr w:type="spellStart"/>
            <w:r w:rsidRPr="00D16838">
              <w:rPr>
                <w:rFonts w:ascii="Arial" w:hAnsi="Arial" w:cs="Arial"/>
                <w:sz w:val="16"/>
                <w:szCs w:val="20"/>
              </w:rPr>
              <w:t>Banobras</w:t>
            </w:r>
            <w:proofErr w:type="spellEnd"/>
            <w:r w:rsidRPr="00D16838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6D7C8" w14:textId="5421038F" w:rsidR="00D16838" w:rsidRPr="0091579B" w:rsidRDefault="00D16838" w:rsidP="00D168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79B">
              <w:rPr>
                <w:rFonts w:ascii="Arial" w:hAnsi="Arial" w:cs="Arial"/>
                <w:sz w:val="16"/>
                <w:szCs w:val="20"/>
              </w:rPr>
              <w:t xml:space="preserve">   2,632,564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1058C" w14:textId="6672AE06" w:rsidR="00D16838" w:rsidRPr="00B231E5" w:rsidRDefault="00D16838" w:rsidP="00D168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282">
              <w:rPr>
                <w:rFonts w:ascii="Arial" w:hAnsi="Arial" w:cs="Arial"/>
                <w:sz w:val="16"/>
                <w:szCs w:val="16"/>
              </w:rPr>
              <w:t>FAFEF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EA94B" w14:textId="42329A59" w:rsidR="00D16838" w:rsidRPr="0091579B" w:rsidRDefault="006C37B7" w:rsidP="006C37B7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  <w:r>
              <w:rPr>
                <w:rFonts w:ascii="Arial" w:hAnsi="Arial" w:cs="Arial"/>
                <w:sz w:val="16"/>
                <w:szCs w:val="20"/>
              </w:rPr>
              <w:t xml:space="preserve">       </w:t>
            </w:r>
            <w:r w:rsidR="00D16838">
              <w:rPr>
                <w:rFonts w:ascii="Arial" w:hAnsi="Arial" w:cs="Arial"/>
                <w:sz w:val="16"/>
                <w:szCs w:val="20"/>
              </w:rPr>
              <w:t xml:space="preserve">        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18F7E" w14:textId="315CE382" w:rsidR="00D16838" w:rsidRPr="0091579B" w:rsidRDefault="00DE65BB" w:rsidP="00D16838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       </w:t>
            </w:r>
            <w:r w:rsidRPr="00DE65BB">
              <w:rPr>
                <w:rFonts w:ascii="Arial" w:hAnsi="Arial" w:cs="Arial"/>
                <w:sz w:val="16"/>
                <w:szCs w:val="20"/>
              </w:rPr>
              <w:t>50,646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AA852" w14:textId="584C2DFB" w:rsidR="00D16838" w:rsidRPr="0091579B" w:rsidRDefault="00DE65BB" w:rsidP="00D16838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1.92</w:t>
            </w:r>
          </w:p>
        </w:tc>
      </w:tr>
      <w:tr w:rsidR="007B5118" w:rsidRPr="00FF57B4" w14:paraId="6359D06C" w14:textId="77777777" w:rsidTr="00331760">
        <w:trPr>
          <w:trHeight w:val="309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03D5E" w14:textId="77777777" w:rsidR="0047295D" w:rsidRPr="00B231E5" w:rsidRDefault="0047295D" w:rsidP="007B5118">
            <w:pPr>
              <w:rPr>
                <w:rFonts w:ascii="Arial" w:hAnsi="Arial" w:cs="Arial"/>
                <w:b/>
                <w:bCs/>
                <w:sz w:val="16"/>
                <w:szCs w:val="19"/>
              </w:rPr>
            </w:pPr>
            <w:r w:rsidRPr="00B231E5">
              <w:rPr>
                <w:rFonts w:ascii="Arial" w:hAnsi="Arial" w:cs="Arial"/>
                <w:b/>
                <w:bCs/>
                <w:sz w:val="16"/>
                <w:szCs w:val="19"/>
              </w:rPr>
              <w:t>NOTA: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F4486" w14:textId="77777777" w:rsidR="0047295D" w:rsidRPr="00B231E5" w:rsidRDefault="0047295D" w:rsidP="007B5118">
            <w:pPr>
              <w:rPr>
                <w:rFonts w:ascii="Arial" w:hAnsi="Arial" w:cs="Arial"/>
                <w:b/>
                <w:bCs/>
                <w:sz w:val="16"/>
                <w:szCs w:val="19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48872" w14:textId="77777777" w:rsidR="0047295D" w:rsidRPr="00B231E5" w:rsidRDefault="0047295D" w:rsidP="007B5118">
            <w:pPr>
              <w:jc w:val="center"/>
              <w:rPr>
                <w:sz w:val="16"/>
                <w:szCs w:val="19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346FF" w14:textId="77777777" w:rsidR="0047295D" w:rsidRPr="00B231E5" w:rsidRDefault="0047295D" w:rsidP="007B5118">
            <w:pPr>
              <w:jc w:val="center"/>
              <w:rPr>
                <w:sz w:val="16"/>
                <w:szCs w:val="19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76659" w14:textId="77777777" w:rsidR="0047295D" w:rsidRPr="00B231E5" w:rsidRDefault="0047295D" w:rsidP="007B5118">
            <w:pPr>
              <w:rPr>
                <w:sz w:val="16"/>
                <w:szCs w:val="19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E49A3" w14:textId="77777777" w:rsidR="0047295D" w:rsidRPr="00B231E5" w:rsidRDefault="0047295D" w:rsidP="00331760">
            <w:pPr>
              <w:jc w:val="right"/>
              <w:rPr>
                <w:sz w:val="16"/>
                <w:szCs w:val="19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BBBDF" w14:textId="77777777" w:rsidR="0047295D" w:rsidRPr="00B231E5" w:rsidRDefault="0047295D" w:rsidP="00331760">
            <w:pPr>
              <w:jc w:val="right"/>
              <w:rPr>
                <w:sz w:val="16"/>
                <w:szCs w:val="19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322B1" w14:textId="77777777" w:rsidR="0047295D" w:rsidRPr="00B231E5" w:rsidRDefault="0047295D" w:rsidP="00331760">
            <w:pPr>
              <w:jc w:val="right"/>
              <w:rPr>
                <w:sz w:val="16"/>
                <w:szCs w:val="19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6C17C" w14:textId="77777777" w:rsidR="0047295D" w:rsidRPr="00FF57B4" w:rsidRDefault="0047295D" w:rsidP="00331760">
            <w:pPr>
              <w:jc w:val="right"/>
              <w:rPr>
                <w:sz w:val="16"/>
                <w:szCs w:val="19"/>
                <w:highlight w:val="yellow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97C14" w14:textId="77777777" w:rsidR="0047295D" w:rsidRPr="00FF57B4" w:rsidRDefault="0047295D" w:rsidP="00331760">
            <w:pPr>
              <w:jc w:val="right"/>
              <w:rPr>
                <w:sz w:val="16"/>
                <w:szCs w:val="19"/>
                <w:highlight w:val="yellow"/>
              </w:rPr>
            </w:pPr>
          </w:p>
        </w:tc>
      </w:tr>
      <w:tr w:rsidR="007B5118" w:rsidRPr="00FF57B4" w14:paraId="46AAB5FC" w14:textId="77777777" w:rsidTr="007B5118">
        <w:trPr>
          <w:trHeight w:val="128"/>
        </w:trPr>
        <w:tc>
          <w:tcPr>
            <w:tcW w:w="3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DB22E" w14:textId="77777777" w:rsidR="0047295D" w:rsidRPr="00B231E5" w:rsidRDefault="0047295D" w:rsidP="007B5118">
            <w:pPr>
              <w:rPr>
                <w:rFonts w:ascii="Arial" w:hAnsi="Arial" w:cs="Arial"/>
                <w:b/>
                <w:bCs/>
                <w:sz w:val="16"/>
                <w:szCs w:val="19"/>
              </w:rPr>
            </w:pPr>
            <w:r w:rsidRPr="00B231E5">
              <w:rPr>
                <w:rFonts w:ascii="Arial" w:hAnsi="Arial" w:cs="Arial"/>
                <w:b/>
                <w:bCs/>
                <w:sz w:val="16"/>
                <w:szCs w:val="19"/>
              </w:rPr>
              <w:t>1 / Incluye pago de principal e intereses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93440" w14:textId="77777777" w:rsidR="0047295D" w:rsidRPr="00B231E5" w:rsidRDefault="0047295D" w:rsidP="007B5118">
            <w:pPr>
              <w:rPr>
                <w:rFonts w:ascii="Arial" w:hAnsi="Arial" w:cs="Arial"/>
                <w:b/>
                <w:bCs/>
                <w:sz w:val="16"/>
                <w:szCs w:val="19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6552B" w14:textId="77777777" w:rsidR="0047295D" w:rsidRPr="00B231E5" w:rsidRDefault="0047295D" w:rsidP="007B5118">
            <w:pPr>
              <w:rPr>
                <w:sz w:val="16"/>
                <w:szCs w:val="19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E04E5" w14:textId="77777777" w:rsidR="0047295D" w:rsidRPr="00B231E5" w:rsidRDefault="0047295D" w:rsidP="007B5118">
            <w:pPr>
              <w:rPr>
                <w:sz w:val="16"/>
                <w:szCs w:val="19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EC0D2" w14:textId="77777777" w:rsidR="0047295D" w:rsidRPr="00B231E5" w:rsidRDefault="0047295D" w:rsidP="007B5118">
            <w:pPr>
              <w:jc w:val="center"/>
              <w:rPr>
                <w:sz w:val="16"/>
                <w:szCs w:val="19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82D67" w14:textId="77777777" w:rsidR="0047295D" w:rsidRPr="00FF57B4" w:rsidRDefault="0047295D" w:rsidP="007B5118">
            <w:pPr>
              <w:rPr>
                <w:sz w:val="16"/>
                <w:szCs w:val="19"/>
                <w:highlight w:val="yellow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29E96" w14:textId="77777777" w:rsidR="0047295D" w:rsidRPr="00FF57B4" w:rsidRDefault="0047295D" w:rsidP="007B5118">
            <w:pPr>
              <w:rPr>
                <w:sz w:val="16"/>
                <w:szCs w:val="19"/>
                <w:highlight w:val="yellow"/>
              </w:rPr>
            </w:pPr>
          </w:p>
        </w:tc>
      </w:tr>
      <w:tr w:rsidR="0047295D" w:rsidRPr="007B5118" w14:paraId="7DDBB91E" w14:textId="77777777" w:rsidTr="00692ED9">
        <w:trPr>
          <w:trHeight w:val="113"/>
        </w:trPr>
        <w:tc>
          <w:tcPr>
            <w:tcW w:w="68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4680E" w14:textId="77777777" w:rsidR="0047295D" w:rsidRPr="00B231E5" w:rsidRDefault="0047295D" w:rsidP="00692ED9">
            <w:pPr>
              <w:rPr>
                <w:rFonts w:ascii="Arial" w:hAnsi="Arial" w:cs="Arial"/>
                <w:b/>
                <w:bCs/>
                <w:sz w:val="16"/>
                <w:szCs w:val="19"/>
              </w:rPr>
            </w:pPr>
            <w:r w:rsidRPr="00B231E5">
              <w:rPr>
                <w:rFonts w:ascii="Arial" w:hAnsi="Arial" w:cs="Arial"/>
                <w:b/>
                <w:bCs/>
                <w:sz w:val="16"/>
                <w:szCs w:val="19"/>
              </w:rPr>
              <w:t>2/ El porcentaje se determina respecto al importe pagado en relación con el importe total.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8A358" w14:textId="77777777" w:rsidR="0047295D" w:rsidRDefault="0047295D" w:rsidP="00692ED9">
            <w:pPr>
              <w:rPr>
                <w:rFonts w:ascii="Arial" w:hAnsi="Arial" w:cs="Arial"/>
                <w:b/>
                <w:bCs/>
                <w:sz w:val="16"/>
                <w:szCs w:val="19"/>
              </w:rPr>
            </w:pPr>
          </w:p>
          <w:p w14:paraId="048E93FE" w14:textId="77777777" w:rsidR="00331760" w:rsidRDefault="00331760" w:rsidP="00692ED9">
            <w:pPr>
              <w:rPr>
                <w:rFonts w:ascii="Arial" w:hAnsi="Arial" w:cs="Arial"/>
                <w:b/>
                <w:bCs/>
                <w:sz w:val="16"/>
                <w:szCs w:val="19"/>
              </w:rPr>
            </w:pPr>
          </w:p>
          <w:p w14:paraId="084721F6" w14:textId="77777777" w:rsidR="00D16838" w:rsidRDefault="00D16838" w:rsidP="00692ED9">
            <w:pPr>
              <w:rPr>
                <w:rFonts w:ascii="Arial" w:hAnsi="Arial" w:cs="Arial"/>
                <w:b/>
                <w:bCs/>
                <w:sz w:val="16"/>
                <w:szCs w:val="19"/>
              </w:rPr>
            </w:pPr>
          </w:p>
          <w:p w14:paraId="0FE89CF5" w14:textId="6CD025CD" w:rsidR="00D16838" w:rsidRPr="00B231E5" w:rsidRDefault="00D16838" w:rsidP="00692ED9">
            <w:pPr>
              <w:rPr>
                <w:rFonts w:ascii="Arial" w:hAnsi="Arial" w:cs="Arial"/>
                <w:b/>
                <w:bCs/>
                <w:sz w:val="16"/>
                <w:szCs w:val="19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A1B7F" w14:textId="77777777" w:rsidR="0047295D" w:rsidRPr="007B5118" w:rsidRDefault="0047295D" w:rsidP="00692ED9">
            <w:pPr>
              <w:rPr>
                <w:sz w:val="16"/>
                <w:szCs w:val="19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DD5B0" w14:textId="77777777" w:rsidR="0047295D" w:rsidRPr="007B5118" w:rsidRDefault="0047295D" w:rsidP="00692ED9">
            <w:pPr>
              <w:rPr>
                <w:sz w:val="16"/>
                <w:szCs w:val="19"/>
              </w:rPr>
            </w:pPr>
          </w:p>
        </w:tc>
      </w:tr>
    </w:tbl>
    <w:p w14:paraId="46C862E0" w14:textId="781AE890" w:rsidR="00094202" w:rsidRPr="00746E99" w:rsidRDefault="004F1D92" w:rsidP="00B231E5">
      <w:pPr>
        <w:pStyle w:val="Prrafodelista"/>
        <w:numPr>
          <w:ilvl w:val="0"/>
          <w:numId w:val="5"/>
        </w:numPr>
        <w:tabs>
          <w:tab w:val="left" w:pos="284"/>
        </w:tabs>
        <w:spacing w:before="190"/>
        <w:ind w:left="0" w:right="95"/>
        <w:rPr>
          <w:rFonts w:asciiTheme="minorHAnsi" w:hAnsiTheme="minorHAnsi" w:cstheme="minorHAnsi"/>
          <w:bCs/>
          <w:sz w:val="21"/>
        </w:rPr>
      </w:pPr>
      <w:r w:rsidRPr="00746E99">
        <w:rPr>
          <w:rFonts w:asciiTheme="minorHAnsi" w:hAnsiTheme="minorHAnsi" w:cstheme="minorHAnsi"/>
          <w:bCs/>
          <w:sz w:val="21"/>
        </w:rPr>
        <w:t xml:space="preserve">A continuación, se presenta la reducción del saldo de deuda pública bruta total </w:t>
      </w:r>
      <w:r w:rsidR="003147A5" w:rsidRPr="00746E99">
        <w:rPr>
          <w:rFonts w:asciiTheme="minorHAnsi" w:hAnsiTheme="minorHAnsi" w:cstheme="minorHAnsi"/>
          <w:bCs/>
          <w:sz w:val="21"/>
        </w:rPr>
        <w:t xml:space="preserve">obtenido </w:t>
      </w:r>
      <w:r w:rsidRPr="00746E99">
        <w:rPr>
          <w:rFonts w:asciiTheme="minorHAnsi" w:hAnsiTheme="minorHAnsi" w:cstheme="minorHAnsi"/>
          <w:bCs/>
          <w:sz w:val="21"/>
        </w:rPr>
        <w:t xml:space="preserve">de la </w:t>
      </w:r>
      <w:r w:rsidR="003147A5" w:rsidRPr="00746E99">
        <w:rPr>
          <w:rFonts w:asciiTheme="minorHAnsi" w:hAnsiTheme="minorHAnsi" w:cstheme="minorHAnsi"/>
          <w:bCs/>
          <w:sz w:val="21"/>
        </w:rPr>
        <w:t xml:space="preserve">aplicación de la </w:t>
      </w:r>
      <w:r w:rsidRPr="00746E99">
        <w:rPr>
          <w:rFonts w:asciiTheme="minorHAnsi" w:hAnsiTheme="minorHAnsi" w:cstheme="minorHAnsi"/>
          <w:bCs/>
          <w:sz w:val="21"/>
        </w:rPr>
        <w:t xml:space="preserve">amortización del periodo, conforme lo establecido en el artículo 47 </w:t>
      </w:r>
      <w:r w:rsidR="003F2FD3" w:rsidRPr="00746E99">
        <w:rPr>
          <w:rFonts w:asciiTheme="minorHAnsi" w:hAnsiTheme="minorHAnsi" w:cstheme="minorHAnsi"/>
          <w:bCs/>
          <w:sz w:val="21"/>
        </w:rPr>
        <w:t>fra</w:t>
      </w:r>
      <w:r w:rsidRPr="00746E99">
        <w:rPr>
          <w:rFonts w:asciiTheme="minorHAnsi" w:hAnsiTheme="minorHAnsi" w:cstheme="minorHAnsi"/>
          <w:bCs/>
          <w:sz w:val="21"/>
        </w:rPr>
        <w:t>cción II de la Ley de Coordinación Fiscal.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1"/>
        <w:gridCol w:w="1183"/>
        <w:gridCol w:w="672"/>
        <w:gridCol w:w="2435"/>
      </w:tblGrid>
      <w:tr w:rsidR="00D16838" w:rsidRPr="00FF57B4" w14:paraId="32F97470" w14:textId="77777777" w:rsidTr="00D16838">
        <w:trPr>
          <w:trHeight w:val="300"/>
          <w:tblHeader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6243" w14:textId="77777777" w:rsidR="00D16838" w:rsidRPr="00FF57B4" w:rsidRDefault="00D16838" w:rsidP="00FF57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bookmarkStart w:id="0" w:name="_Hlk140223503"/>
            <w:r w:rsidRPr="00FF57B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lastRenderedPageBreak/>
              <w:t>REDUCCIÓN DEL SALDO DE DEUDA PÚBLICA BRUTA</w:t>
            </w:r>
          </w:p>
        </w:tc>
      </w:tr>
      <w:tr w:rsidR="00D16838" w:rsidRPr="00FF57B4" w14:paraId="1870CF35" w14:textId="77777777" w:rsidTr="00D16838">
        <w:trPr>
          <w:trHeight w:val="300"/>
          <w:tblHeader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CD32" w14:textId="0DD540BC" w:rsidR="00D16838" w:rsidRPr="00FF57B4" w:rsidRDefault="00D16838" w:rsidP="00D1683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DEL PERIODO 1º  ENERO  AL  3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1</w:t>
            </w:r>
            <w:r w:rsidRPr="00FF57B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DICIEMBRE </w:t>
            </w:r>
            <w:r w:rsidRPr="00FF57B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DE 2024</w:t>
            </w:r>
          </w:p>
        </w:tc>
      </w:tr>
      <w:tr w:rsidR="00D16838" w:rsidRPr="00FF57B4" w14:paraId="6EDB7648" w14:textId="77777777" w:rsidTr="00D16838">
        <w:trPr>
          <w:trHeight w:val="300"/>
          <w:tblHeader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9E824" w14:textId="77777777" w:rsidR="00D16838" w:rsidRPr="00FF57B4" w:rsidRDefault="00D16838" w:rsidP="00FF57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(Miles de pesos )</w:t>
            </w:r>
          </w:p>
        </w:tc>
      </w:tr>
      <w:tr w:rsidR="00D16838" w:rsidRPr="00FF57B4" w14:paraId="5D61E940" w14:textId="77777777" w:rsidTr="00D16838">
        <w:trPr>
          <w:trHeight w:val="131"/>
        </w:trPr>
        <w:tc>
          <w:tcPr>
            <w:tcW w:w="3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45593C0" w14:textId="77777777" w:rsidR="00D16838" w:rsidRPr="00FF57B4" w:rsidRDefault="00D16838" w:rsidP="00FF57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1226A9" w14:textId="77777777" w:rsidR="00D16838" w:rsidRPr="00FF57B4" w:rsidRDefault="00D16838" w:rsidP="00FF57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Importe</w:t>
            </w:r>
          </w:p>
        </w:tc>
      </w:tr>
      <w:tr w:rsidR="00D16838" w:rsidRPr="00FF57B4" w14:paraId="0046D31D" w14:textId="77777777" w:rsidTr="00D16838">
        <w:trPr>
          <w:trHeight w:val="300"/>
        </w:trPr>
        <w:tc>
          <w:tcPr>
            <w:tcW w:w="3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3E1D83" w14:textId="77777777" w:rsidR="00D16838" w:rsidRPr="00FF57B4" w:rsidRDefault="00D16838" w:rsidP="00FF57B4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Deuda Pública Bruta Total al 31 de diciembre del Año 2023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FED53A" w14:textId="77777777" w:rsidR="00D16838" w:rsidRPr="00FF57B4" w:rsidRDefault="00D16838" w:rsidP="00B231E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15,257,838 </w:t>
            </w:r>
          </w:p>
        </w:tc>
      </w:tr>
      <w:tr w:rsidR="00D16838" w:rsidRPr="00FF57B4" w14:paraId="4E3860B0" w14:textId="77777777" w:rsidTr="00D16838">
        <w:trPr>
          <w:trHeight w:val="300"/>
        </w:trPr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DA620" w14:textId="77777777" w:rsidR="00D16838" w:rsidRPr="00FF57B4" w:rsidRDefault="00D16838" w:rsidP="00FF57B4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   (+) Disposiciones realizadas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7AE201" w14:textId="77777777" w:rsidR="00D16838" w:rsidRPr="00FF57B4" w:rsidRDefault="00D16838" w:rsidP="00FF57B4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3A6C" w14:textId="77777777" w:rsidR="00D16838" w:rsidRPr="00FF57B4" w:rsidRDefault="00D16838" w:rsidP="00FF57B4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16F4" w14:textId="77777777" w:rsidR="00D16838" w:rsidRPr="00FF57B4" w:rsidRDefault="00D16838" w:rsidP="00B231E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                            -   </w:t>
            </w:r>
          </w:p>
        </w:tc>
      </w:tr>
      <w:tr w:rsidR="00D16838" w:rsidRPr="00FF57B4" w14:paraId="51F399BD" w14:textId="77777777" w:rsidTr="00D16838">
        <w:trPr>
          <w:trHeight w:val="300"/>
        </w:trPr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215CE" w14:textId="77777777" w:rsidR="00D16838" w:rsidRPr="00FF57B4" w:rsidRDefault="00D16838" w:rsidP="00FF57B4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   (-) Amortización de capital y/o principal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5FD1" w14:textId="77777777" w:rsidR="00D16838" w:rsidRPr="00FF57B4" w:rsidRDefault="00D16838" w:rsidP="00FF57B4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C8E9" w14:textId="77777777" w:rsidR="00D16838" w:rsidRPr="00FF57B4" w:rsidRDefault="00D16838" w:rsidP="00B231E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                  86,597 </w:t>
            </w:r>
          </w:p>
        </w:tc>
      </w:tr>
      <w:tr w:rsidR="00D16838" w:rsidRPr="00FF57B4" w14:paraId="0D36DE63" w14:textId="77777777" w:rsidTr="00D16838">
        <w:trPr>
          <w:trHeight w:val="446"/>
        </w:trPr>
        <w:tc>
          <w:tcPr>
            <w:tcW w:w="3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DE5AC64" w14:textId="77777777" w:rsidR="00D16838" w:rsidRDefault="00D16838" w:rsidP="00FF57B4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Deuda Pública Bruta Total descontando la amortización del periodo                  </w:t>
            </w:r>
          </w:p>
          <w:p w14:paraId="095DD4AF" w14:textId="16F41C12" w:rsidR="00D16838" w:rsidRPr="00FF57B4" w:rsidRDefault="00D16838" w:rsidP="00FF57B4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  (enero-marzo) 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B4FC10" w14:textId="77777777" w:rsidR="00D16838" w:rsidRPr="00FF57B4" w:rsidRDefault="00D16838" w:rsidP="00B231E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     15,171,241.35 </w:t>
            </w:r>
          </w:p>
        </w:tc>
      </w:tr>
      <w:tr w:rsidR="00D16838" w:rsidRPr="00FF57B4" w14:paraId="63A55096" w14:textId="77777777" w:rsidTr="00D16838">
        <w:trPr>
          <w:trHeight w:val="300"/>
        </w:trPr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E3716" w14:textId="77777777" w:rsidR="00D16838" w:rsidRPr="00FF57B4" w:rsidRDefault="00D16838" w:rsidP="00FF57B4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   (+) Disposiciones realizadas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940689" w14:textId="77777777" w:rsidR="00D16838" w:rsidRPr="00FF57B4" w:rsidRDefault="00D16838" w:rsidP="00FF57B4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6A72" w14:textId="77777777" w:rsidR="00D16838" w:rsidRPr="00FF57B4" w:rsidRDefault="00D16838" w:rsidP="00FF57B4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657D" w14:textId="77777777" w:rsidR="00D16838" w:rsidRPr="00FF57B4" w:rsidRDefault="00D16838" w:rsidP="00B231E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                            -   </w:t>
            </w:r>
          </w:p>
        </w:tc>
      </w:tr>
      <w:tr w:rsidR="00D16838" w:rsidRPr="00FF57B4" w14:paraId="087A79D0" w14:textId="77777777" w:rsidTr="00D16838">
        <w:trPr>
          <w:trHeight w:val="300"/>
        </w:trPr>
        <w:tc>
          <w:tcPr>
            <w:tcW w:w="32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CD6D6" w14:textId="1E164760" w:rsidR="00D16838" w:rsidRPr="00FF57B4" w:rsidRDefault="00D16838" w:rsidP="00FF57B4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   (-) Amortización de capital y/o principal</w:t>
            </w:r>
            <w:r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81DE" w14:textId="77777777" w:rsidR="00D16838" w:rsidRPr="00FF57B4" w:rsidRDefault="00D16838" w:rsidP="00FF57B4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0F59" w14:textId="715CD12A" w:rsidR="00D16838" w:rsidRPr="00FF57B4" w:rsidRDefault="00D16838" w:rsidP="00B231E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85,942</w:t>
            </w:r>
          </w:p>
        </w:tc>
      </w:tr>
      <w:tr w:rsidR="00D16838" w:rsidRPr="00FF57B4" w14:paraId="40C3DB88" w14:textId="77777777" w:rsidTr="00D16838">
        <w:trPr>
          <w:trHeight w:val="418"/>
        </w:trPr>
        <w:tc>
          <w:tcPr>
            <w:tcW w:w="3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D9FE80B" w14:textId="77777777" w:rsidR="00D16838" w:rsidRPr="00FF57B4" w:rsidRDefault="00D16838" w:rsidP="00FF57B4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Deuda Pública Bruta Total descontando la amortización del periodo                    </w:t>
            </w: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br/>
              <w:t xml:space="preserve">(abril-junio) </w:t>
            </w:r>
          </w:p>
        </w:tc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95D2C6" w14:textId="77777777" w:rsidR="00D16838" w:rsidRPr="00FF57B4" w:rsidRDefault="00D16838" w:rsidP="00B231E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     15,085,299.35 </w:t>
            </w:r>
          </w:p>
        </w:tc>
      </w:tr>
      <w:tr w:rsidR="00D16838" w:rsidRPr="00FF57B4" w14:paraId="42D502B2" w14:textId="77777777" w:rsidTr="00D16838">
        <w:trPr>
          <w:trHeight w:val="300"/>
        </w:trPr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9D5EF" w14:textId="77777777" w:rsidR="00D16838" w:rsidRPr="00FF57B4" w:rsidRDefault="00D16838" w:rsidP="00FF57B4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   (+) Disposiciones realizadas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11062" w14:textId="77777777" w:rsidR="00D16838" w:rsidRPr="00FF57B4" w:rsidRDefault="00D16838" w:rsidP="00FF57B4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6249" w14:textId="77777777" w:rsidR="00D16838" w:rsidRPr="00FF57B4" w:rsidRDefault="00D16838" w:rsidP="00FF57B4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4677" w14:textId="243ADD74" w:rsidR="00D16838" w:rsidRPr="00FF57B4" w:rsidRDefault="00D16838" w:rsidP="009129AF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5D1F7A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12,053,733</w:t>
            </w:r>
          </w:p>
        </w:tc>
      </w:tr>
      <w:tr w:rsidR="00D16838" w:rsidRPr="00FF57B4" w14:paraId="2F4D36CA" w14:textId="77777777" w:rsidTr="00D16838">
        <w:trPr>
          <w:trHeight w:val="300"/>
        </w:trPr>
        <w:tc>
          <w:tcPr>
            <w:tcW w:w="32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49594" w14:textId="5F55DD9B" w:rsidR="00D16838" w:rsidRPr="00FF57B4" w:rsidRDefault="00D16838" w:rsidP="00FF57B4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   (-) Amortización de capital y/o principal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3202" w14:textId="77777777" w:rsidR="00D16838" w:rsidRPr="00FF57B4" w:rsidRDefault="00D16838" w:rsidP="00FF57B4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53CB" w14:textId="3AF4C74F" w:rsidR="00D16838" w:rsidRPr="00FF57B4" w:rsidRDefault="00D16838" w:rsidP="009129AF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5D1F7A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12,169,018</w:t>
            </w:r>
          </w:p>
        </w:tc>
      </w:tr>
      <w:tr w:rsidR="00D16838" w:rsidRPr="00FF57B4" w14:paraId="071E98F3" w14:textId="77777777" w:rsidTr="00D16838">
        <w:trPr>
          <w:trHeight w:val="478"/>
        </w:trPr>
        <w:tc>
          <w:tcPr>
            <w:tcW w:w="3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3BA505" w14:textId="1C216D8E" w:rsidR="00D16838" w:rsidRPr="00FF57B4" w:rsidRDefault="00D16838" w:rsidP="00FF57B4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Deuda Pública Bruta Total descontando la amortización</w:t>
            </w:r>
            <w:r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 del periodo                   </w:t>
            </w: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br/>
              <w:t xml:space="preserve">(julio-septiembre) 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368F27" w14:textId="39CE459D" w:rsidR="00D16838" w:rsidRPr="00FF57B4" w:rsidRDefault="00D16838" w:rsidP="009129AF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5D1F7A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14,970,014</w:t>
            </w:r>
          </w:p>
        </w:tc>
      </w:tr>
      <w:tr w:rsidR="00D16838" w:rsidRPr="00FF57B4" w14:paraId="34657828" w14:textId="52DC2819" w:rsidTr="00D16838">
        <w:trPr>
          <w:trHeight w:val="397"/>
        </w:trPr>
        <w:tc>
          <w:tcPr>
            <w:tcW w:w="3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A5E13" w14:textId="35ACC632" w:rsidR="00D16838" w:rsidRPr="00331760" w:rsidRDefault="00D16838" w:rsidP="00331760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331760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   (+) Disposiciones realizadas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F7D2F8" w14:textId="369133EA" w:rsidR="00D16838" w:rsidRPr="00331760" w:rsidRDefault="002242C4" w:rsidP="0033176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-</w:t>
            </w:r>
            <w:r w:rsidR="00D16838" w:rsidRPr="00331760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 </w:t>
            </w:r>
          </w:p>
        </w:tc>
      </w:tr>
      <w:tr w:rsidR="00D16838" w:rsidRPr="00FF57B4" w14:paraId="77B4CFB1" w14:textId="77777777" w:rsidTr="00D16838">
        <w:trPr>
          <w:trHeight w:val="397"/>
        </w:trPr>
        <w:tc>
          <w:tcPr>
            <w:tcW w:w="3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4B1DE" w14:textId="6E90C0B2" w:rsidR="00D16838" w:rsidRPr="00331760" w:rsidRDefault="00D16838" w:rsidP="00331760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331760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   (-) Amortización de capital y/o principal 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387262" w14:textId="311EFAB5" w:rsidR="00D16838" w:rsidRPr="00331760" w:rsidRDefault="00D16838" w:rsidP="006C37B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54,24</w:t>
            </w:r>
            <w:r w:rsidR="006C37B7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5</w:t>
            </w:r>
            <w:r w:rsidRPr="00331760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 </w:t>
            </w:r>
          </w:p>
        </w:tc>
      </w:tr>
      <w:tr w:rsidR="00D16838" w:rsidRPr="00FF57B4" w14:paraId="2C69C9F0" w14:textId="77777777" w:rsidTr="00D16838">
        <w:trPr>
          <w:trHeight w:val="478"/>
        </w:trPr>
        <w:tc>
          <w:tcPr>
            <w:tcW w:w="3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7EA0FAA" w14:textId="7A3763F7" w:rsidR="00D16838" w:rsidRPr="00FF57B4" w:rsidRDefault="00D16838" w:rsidP="00331760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Deuda Pública Bruta Total descontando la amortización del per</w:t>
            </w:r>
            <w:r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iodo                    </w:t>
            </w:r>
            <w:r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br/>
              <w:t>(octubre-diciembre</w:t>
            </w: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) 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967E03A" w14:textId="11DEC6C3" w:rsidR="00D16838" w:rsidRPr="00FF57B4" w:rsidRDefault="00D16838" w:rsidP="006C37B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5D1F7A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1</w:t>
            </w:r>
            <w:r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4,915,76</w:t>
            </w:r>
            <w:r w:rsidR="006C37B7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9</w:t>
            </w:r>
          </w:p>
        </w:tc>
      </w:tr>
    </w:tbl>
    <w:p w14:paraId="4DE8BA20" w14:textId="77777777" w:rsidR="005A33D3" w:rsidRDefault="005A33D3" w:rsidP="007B5118">
      <w:pPr>
        <w:pStyle w:val="Prrafodelista"/>
        <w:tabs>
          <w:tab w:val="left" w:pos="284"/>
        </w:tabs>
        <w:spacing w:before="0"/>
        <w:ind w:left="0" w:right="95" w:firstLine="0"/>
        <w:rPr>
          <w:rFonts w:asciiTheme="minorHAnsi" w:hAnsiTheme="minorHAnsi" w:cstheme="minorHAnsi"/>
          <w:bCs/>
          <w:color w:val="FF0000"/>
          <w:sz w:val="21"/>
        </w:rPr>
      </w:pPr>
    </w:p>
    <w:p w14:paraId="13E934B7" w14:textId="7DBC36A9" w:rsidR="003C2755" w:rsidRDefault="003C2755" w:rsidP="00B231E5">
      <w:pPr>
        <w:pStyle w:val="Prrafodelista"/>
        <w:numPr>
          <w:ilvl w:val="0"/>
          <w:numId w:val="5"/>
        </w:numPr>
        <w:tabs>
          <w:tab w:val="left" w:pos="284"/>
        </w:tabs>
        <w:spacing w:before="0"/>
        <w:ind w:left="0" w:right="95"/>
        <w:rPr>
          <w:rFonts w:asciiTheme="minorHAnsi" w:hAnsiTheme="minorHAnsi" w:cstheme="minorHAnsi"/>
          <w:bCs/>
          <w:sz w:val="21"/>
        </w:rPr>
      </w:pPr>
      <w:r w:rsidRPr="00050700">
        <w:rPr>
          <w:rFonts w:asciiTheme="minorHAnsi" w:hAnsiTheme="minorHAnsi" w:cstheme="minorHAnsi"/>
          <w:bCs/>
          <w:sz w:val="21"/>
        </w:rPr>
        <w:t>Se presenta comparativo de la relación deuda pública bruta total</w:t>
      </w:r>
      <w:r w:rsidR="000F0898" w:rsidRPr="00050700">
        <w:rPr>
          <w:rFonts w:asciiTheme="minorHAnsi" w:hAnsiTheme="minorHAnsi" w:cstheme="minorHAnsi"/>
          <w:bCs/>
          <w:sz w:val="21"/>
        </w:rPr>
        <w:t xml:space="preserve"> en relación al producto interno bruto del estado</w:t>
      </w:r>
      <w:r w:rsidR="00F818A3" w:rsidRPr="00050700">
        <w:rPr>
          <w:rFonts w:asciiTheme="minorHAnsi" w:hAnsiTheme="minorHAnsi" w:cstheme="minorHAnsi"/>
          <w:bCs/>
          <w:sz w:val="21"/>
        </w:rPr>
        <w:t xml:space="preserve"> </w:t>
      </w:r>
      <w:r w:rsidR="000F0898" w:rsidRPr="00050700">
        <w:rPr>
          <w:rFonts w:asciiTheme="minorHAnsi" w:hAnsiTheme="minorHAnsi" w:cstheme="minorHAnsi"/>
          <w:bCs/>
          <w:sz w:val="21"/>
        </w:rPr>
        <w:t>entre el 31 de diciembre del ejercicio fiscal anterior y la fecha de la amortización</w:t>
      </w:r>
      <w:r w:rsidR="00F818A3" w:rsidRPr="00050700">
        <w:rPr>
          <w:rFonts w:asciiTheme="minorHAnsi" w:hAnsiTheme="minorHAnsi" w:cstheme="minorHAnsi"/>
          <w:bCs/>
          <w:sz w:val="21"/>
        </w:rPr>
        <w:t xml:space="preserve"> a </w:t>
      </w:r>
      <w:r w:rsidR="006C0237">
        <w:rPr>
          <w:rFonts w:asciiTheme="minorHAnsi" w:hAnsiTheme="minorHAnsi" w:cstheme="minorHAnsi"/>
          <w:bCs/>
          <w:sz w:val="21"/>
        </w:rPr>
        <w:t>diciembre</w:t>
      </w:r>
      <w:r w:rsidR="00723A1A">
        <w:rPr>
          <w:rFonts w:asciiTheme="minorHAnsi" w:hAnsiTheme="minorHAnsi" w:cstheme="minorHAnsi"/>
          <w:bCs/>
          <w:sz w:val="21"/>
        </w:rPr>
        <w:t xml:space="preserve"> de 2024</w:t>
      </w:r>
      <w:r w:rsidR="00F818A3" w:rsidRPr="00050700">
        <w:rPr>
          <w:rFonts w:asciiTheme="minorHAnsi" w:hAnsiTheme="minorHAnsi" w:cstheme="minorHAnsi"/>
          <w:bCs/>
          <w:sz w:val="21"/>
        </w:rPr>
        <w:t xml:space="preserve">. </w:t>
      </w:r>
      <w:r w:rsidRPr="00050700">
        <w:rPr>
          <w:rFonts w:asciiTheme="minorHAnsi" w:hAnsiTheme="minorHAnsi" w:cstheme="minorHAnsi"/>
          <w:bCs/>
          <w:sz w:val="21"/>
        </w:rPr>
        <w:t xml:space="preserve">Este es un indicador que relaciona el potencial del Estado a través del Producto Interno Bruto Estatal (PIBE) con el grado de endeudamiento. El saldo de la deuda pública bruta total del Estado al cierre de </w:t>
      </w:r>
      <w:r w:rsidR="002242C4">
        <w:rPr>
          <w:rFonts w:asciiTheme="minorHAnsi" w:hAnsiTheme="minorHAnsi" w:cstheme="minorHAnsi"/>
          <w:bCs/>
          <w:sz w:val="21"/>
        </w:rPr>
        <w:t>dic</w:t>
      </w:r>
      <w:r w:rsidR="00B10DFF">
        <w:rPr>
          <w:rFonts w:asciiTheme="minorHAnsi" w:hAnsiTheme="minorHAnsi" w:cstheme="minorHAnsi"/>
          <w:bCs/>
          <w:sz w:val="21"/>
        </w:rPr>
        <w:t>iembre</w:t>
      </w:r>
      <w:r w:rsidR="0086232B" w:rsidRPr="00050700">
        <w:rPr>
          <w:rFonts w:asciiTheme="minorHAnsi" w:hAnsiTheme="minorHAnsi" w:cstheme="minorHAnsi"/>
          <w:bCs/>
          <w:sz w:val="21"/>
        </w:rPr>
        <w:t xml:space="preserve"> </w:t>
      </w:r>
      <w:r w:rsidR="00723A1A">
        <w:rPr>
          <w:rFonts w:asciiTheme="minorHAnsi" w:hAnsiTheme="minorHAnsi" w:cstheme="minorHAnsi"/>
          <w:bCs/>
          <w:sz w:val="21"/>
        </w:rPr>
        <w:t>de 2024</w:t>
      </w:r>
      <w:r w:rsidRPr="00050700">
        <w:rPr>
          <w:rFonts w:asciiTheme="minorHAnsi" w:hAnsiTheme="minorHAnsi" w:cstheme="minorHAnsi"/>
          <w:bCs/>
          <w:sz w:val="21"/>
        </w:rPr>
        <w:t xml:space="preserve">, representa el </w:t>
      </w:r>
      <w:r w:rsidR="006C0237">
        <w:rPr>
          <w:rFonts w:asciiTheme="minorHAnsi" w:hAnsiTheme="minorHAnsi" w:cstheme="minorHAnsi"/>
          <w:bCs/>
          <w:sz w:val="21"/>
        </w:rPr>
        <w:t>3.58</w:t>
      </w:r>
      <w:r w:rsidRPr="00050700">
        <w:rPr>
          <w:rFonts w:asciiTheme="minorHAnsi" w:hAnsiTheme="minorHAnsi" w:cstheme="minorHAnsi"/>
          <w:bCs/>
          <w:sz w:val="21"/>
        </w:rPr>
        <w:t>% del PIBE.</w:t>
      </w:r>
    </w:p>
    <w:p w14:paraId="36922916" w14:textId="77777777" w:rsidR="004B2FA5" w:rsidRPr="00050700" w:rsidRDefault="004B2FA5" w:rsidP="007B5118">
      <w:pPr>
        <w:pStyle w:val="Textoindependiente"/>
        <w:ind w:right="95"/>
        <w:jc w:val="center"/>
        <w:rPr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1"/>
        <w:gridCol w:w="3000"/>
        <w:gridCol w:w="3000"/>
      </w:tblGrid>
      <w:tr w:rsidR="00B10DFF" w:rsidRPr="00AB1BEC" w14:paraId="3B8BCBC6" w14:textId="77777777" w:rsidTr="0027448A">
        <w:trPr>
          <w:trHeight w:val="67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362A2" w14:textId="77777777" w:rsidR="00B10DFF" w:rsidRPr="00AB1BEC" w:rsidRDefault="00B10DFF" w:rsidP="002744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AB1B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COMPARATIVO DE LA RELACIÓN DEUDA PÚBLICA  BRUTA TOTAL RESPECTO AL PRODUCTO INTERNO BRUTO DEL ESTADO </w:t>
            </w:r>
          </w:p>
        </w:tc>
      </w:tr>
      <w:tr w:rsidR="00B10DFF" w:rsidRPr="00AB1BEC" w14:paraId="3526FDCA" w14:textId="77777777" w:rsidTr="0027448A">
        <w:trPr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4C8F" w14:textId="77777777" w:rsidR="00B10DFF" w:rsidRPr="00AB1BEC" w:rsidRDefault="00B10DFF" w:rsidP="002744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AB1B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(Miles de pesos)</w:t>
            </w:r>
          </w:p>
        </w:tc>
      </w:tr>
      <w:tr w:rsidR="00B10DFF" w:rsidRPr="00AB1BEC" w14:paraId="7B971A0E" w14:textId="77777777" w:rsidTr="009129AF">
        <w:trPr>
          <w:trHeight w:val="309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3E30154" w14:textId="77777777" w:rsidR="00B10DFF" w:rsidRPr="00AB1BEC" w:rsidRDefault="00B10DFF" w:rsidP="002744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AB1B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B6D047" w14:textId="77777777" w:rsidR="00B10DFF" w:rsidRPr="00AB1BEC" w:rsidRDefault="00B10DFF" w:rsidP="002744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AB1B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Al  31   de diciembre  2023</w:t>
            </w:r>
          </w:p>
        </w:tc>
        <w:tc>
          <w:tcPr>
            <w:tcW w:w="1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108B0" w14:textId="2E62CA76" w:rsidR="00B10DFF" w:rsidRPr="00AB1BEC" w:rsidRDefault="00B10DFF" w:rsidP="006C023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AB1B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Al 3</w:t>
            </w:r>
            <w:r w:rsidR="006C023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1 de diciembre</w:t>
            </w:r>
            <w:r w:rsidRPr="00AB1B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 de 2024</w:t>
            </w:r>
          </w:p>
        </w:tc>
      </w:tr>
      <w:tr w:rsidR="00B10DFF" w:rsidRPr="00AB1BEC" w14:paraId="5D4095EA" w14:textId="77777777" w:rsidTr="0027448A">
        <w:trPr>
          <w:trHeight w:val="300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F8E48" w14:textId="77777777" w:rsidR="00B10DFF" w:rsidRPr="00AB1BEC" w:rsidRDefault="00B10DFF" w:rsidP="0027448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AB1BEC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Producto Interno Bruto Estatal </w:t>
            </w:r>
            <w:r w:rsidRPr="00AB1B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 </w:t>
            </w:r>
            <w:r w:rsidRPr="00AB1BEC">
              <w:rPr>
                <w:rFonts w:ascii="Calibri" w:eastAsia="Times New Roman" w:hAnsi="Calibri" w:cs="Calibri"/>
                <w:b/>
                <w:bCs/>
                <w:sz w:val="18"/>
                <w:szCs w:val="18"/>
                <w:vertAlign w:val="superscript"/>
                <w:lang w:val="es-MX" w:eastAsia="es-MX"/>
              </w:rPr>
              <w:t>/1</w:t>
            </w:r>
          </w:p>
        </w:tc>
        <w:tc>
          <w:tcPr>
            <w:tcW w:w="1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6275" w14:textId="77777777" w:rsidR="00B10DFF" w:rsidRPr="00AB1BEC" w:rsidRDefault="00B10DFF" w:rsidP="0027448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AB1BEC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432,703,282 </w:t>
            </w:r>
          </w:p>
        </w:tc>
        <w:tc>
          <w:tcPr>
            <w:tcW w:w="1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F78D" w14:textId="7D1DF004" w:rsidR="00B10DFF" w:rsidRPr="00AB1BEC" w:rsidRDefault="00730DAB" w:rsidP="0027448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730DAB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416,279,901</w:t>
            </w:r>
          </w:p>
        </w:tc>
      </w:tr>
      <w:tr w:rsidR="00B10DFF" w:rsidRPr="00AB1BEC" w14:paraId="79E07875" w14:textId="77777777" w:rsidTr="0027448A">
        <w:trPr>
          <w:trHeight w:val="300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42CF8" w14:textId="77777777" w:rsidR="00B10DFF" w:rsidRPr="00AB1BEC" w:rsidRDefault="00B10DFF" w:rsidP="0027448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AB1BEC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Saldo de la deuda pública  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DC58" w14:textId="77777777" w:rsidR="00B10DFF" w:rsidRPr="00AB1BEC" w:rsidRDefault="00B10DFF" w:rsidP="0027448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AB1BEC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15,257,838 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E2EC" w14:textId="341FCBBB" w:rsidR="00B10DFF" w:rsidRPr="00AB1BEC" w:rsidRDefault="00D16838" w:rsidP="0027448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D16838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14,915,768</w:t>
            </w:r>
          </w:p>
        </w:tc>
      </w:tr>
      <w:tr w:rsidR="00B10DFF" w:rsidRPr="00AB1BEC" w14:paraId="0A1CB7AB" w14:textId="77777777" w:rsidTr="0027448A">
        <w:trPr>
          <w:trHeight w:val="300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231B" w14:textId="77777777" w:rsidR="00B10DFF" w:rsidRPr="00AB1BEC" w:rsidRDefault="00B10DFF" w:rsidP="0027448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AB1BEC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Porcentaje</w:t>
            </w:r>
          </w:p>
        </w:tc>
        <w:tc>
          <w:tcPr>
            <w:tcW w:w="1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8D5C" w14:textId="77777777" w:rsidR="00B10DFF" w:rsidRPr="00AB1BEC" w:rsidRDefault="00B10DFF" w:rsidP="0027448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AB1BEC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3.53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F85C" w14:textId="1C1735E6" w:rsidR="00B10DFF" w:rsidRPr="00AB1BEC" w:rsidRDefault="00730DAB" w:rsidP="00D1683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3.</w:t>
            </w:r>
            <w:r w:rsidR="00D16838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58</w:t>
            </w:r>
          </w:p>
        </w:tc>
      </w:tr>
      <w:tr w:rsidR="00B10DFF" w:rsidRPr="00AB1BEC" w14:paraId="556D30BA" w14:textId="77777777" w:rsidTr="0027448A">
        <w:trPr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ED139" w14:textId="0ED2E742" w:rsidR="00B10DFF" w:rsidRPr="00AB1BEC" w:rsidRDefault="00B10DFF" w:rsidP="0027448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AB1B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1/</w:t>
            </w:r>
            <w:r w:rsidRPr="00AB1BEC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 Fuente: INEGI, Sistema de Cuentas Nacionales de México; valor</w:t>
            </w:r>
            <w:r w:rsidR="00730DAB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es a precios corriente, PIB 2022</w:t>
            </w:r>
            <w:r w:rsidRPr="00AB1BEC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.</w:t>
            </w:r>
          </w:p>
        </w:tc>
      </w:tr>
    </w:tbl>
    <w:p w14:paraId="609B72F7" w14:textId="67894A12" w:rsidR="00C95FB4" w:rsidRDefault="00C95FB4" w:rsidP="007B5118">
      <w:pPr>
        <w:pStyle w:val="Textoindependiente"/>
        <w:ind w:right="95"/>
        <w:jc w:val="center"/>
        <w:rPr>
          <w:color w:val="FF0000"/>
          <w:lang w:val="es-MX"/>
        </w:rPr>
      </w:pPr>
    </w:p>
    <w:p w14:paraId="18EB9348" w14:textId="77777777" w:rsidR="00723A1A" w:rsidRDefault="00723A1A" w:rsidP="007B5118">
      <w:pPr>
        <w:pStyle w:val="Textoindependiente"/>
        <w:ind w:right="95"/>
        <w:jc w:val="center"/>
        <w:rPr>
          <w:color w:val="FF0000"/>
          <w:lang w:val="es-MX"/>
        </w:rPr>
      </w:pPr>
    </w:p>
    <w:p w14:paraId="65413492" w14:textId="3FB3E366" w:rsidR="006535D2" w:rsidRPr="003F7ED5" w:rsidRDefault="00927077" w:rsidP="00B231E5">
      <w:pPr>
        <w:pStyle w:val="Prrafodelista"/>
        <w:numPr>
          <w:ilvl w:val="0"/>
          <w:numId w:val="5"/>
        </w:numPr>
        <w:tabs>
          <w:tab w:val="left" w:pos="284"/>
        </w:tabs>
        <w:spacing w:before="0"/>
        <w:ind w:left="0" w:right="95"/>
        <w:rPr>
          <w:rFonts w:asciiTheme="minorHAnsi" w:hAnsiTheme="minorHAnsi" w:cstheme="minorHAnsi"/>
          <w:bCs/>
          <w:sz w:val="21"/>
        </w:rPr>
      </w:pPr>
      <w:r w:rsidRPr="003F7ED5">
        <w:rPr>
          <w:rFonts w:asciiTheme="minorHAnsi" w:hAnsiTheme="minorHAnsi" w:cstheme="minorHAnsi"/>
          <w:bCs/>
          <w:sz w:val="21"/>
        </w:rPr>
        <w:t>El siguiente cuadro presenta</w:t>
      </w:r>
      <w:r w:rsidR="006535D2" w:rsidRPr="003F7ED5">
        <w:rPr>
          <w:rFonts w:asciiTheme="minorHAnsi" w:hAnsiTheme="minorHAnsi" w:cstheme="minorHAnsi"/>
          <w:bCs/>
          <w:sz w:val="21"/>
        </w:rPr>
        <w:t xml:space="preserve"> un comparativo de la deuda pública bruta total </w:t>
      </w:r>
      <w:r w:rsidR="003D7999" w:rsidRPr="003F7ED5">
        <w:rPr>
          <w:rFonts w:asciiTheme="minorHAnsi" w:hAnsiTheme="minorHAnsi" w:cstheme="minorHAnsi"/>
          <w:bCs/>
          <w:sz w:val="21"/>
        </w:rPr>
        <w:t xml:space="preserve">en relación </w:t>
      </w:r>
      <w:r w:rsidR="006535D2" w:rsidRPr="003F7ED5">
        <w:rPr>
          <w:rFonts w:asciiTheme="minorHAnsi" w:hAnsiTheme="minorHAnsi" w:cstheme="minorHAnsi"/>
          <w:bCs/>
          <w:sz w:val="21"/>
        </w:rPr>
        <w:t xml:space="preserve">a </w:t>
      </w:r>
      <w:r w:rsidR="003D7999" w:rsidRPr="003F7ED5">
        <w:rPr>
          <w:rFonts w:asciiTheme="minorHAnsi" w:hAnsiTheme="minorHAnsi" w:cstheme="minorHAnsi"/>
          <w:bCs/>
          <w:sz w:val="21"/>
        </w:rPr>
        <w:t xml:space="preserve">los </w:t>
      </w:r>
      <w:r w:rsidR="006535D2" w:rsidRPr="003F7ED5">
        <w:rPr>
          <w:rFonts w:asciiTheme="minorHAnsi" w:hAnsiTheme="minorHAnsi" w:cstheme="minorHAnsi"/>
          <w:bCs/>
          <w:sz w:val="21"/>
        </w:rPr>
        <w:t>ingresos propios del Estado, entre el 31 de diciembre del ejercicio fiscal anterior y la fecha de la amortización</w:t>
      </w:r>
      <w:r w:rsidR="003D7999" w:rsidRPr="003F7ED5">
        <w:rPr>
          <w:rFonts w:asciiTheme="minorHAnsi" w:hAnsiTheme="minorHAnsi" w:cstheme="minorHAnsi"/>
          <w:bCs/>
          <w:sz w:val="21"/>
        </w:rPr>
        <w:t xml:space="preserve"> del período.</w:t>
      </w:r>
    </w:p>
    <w:p w14:paraId="00AD455A" w14:textId="77777777" w:rsidR="006535D2" w:rsidRPr="003F7ED5" w:rsidRDefault="006535D2" w:rsidP="007B5118">
      <w:pPr>
        <w:ind w:right="95"/>
        <w:jc w:val="both"/>
        <w:rPr>
          <w:rFonts w:asciiTheme="minorHAnsi" w:hAnsiTheme="minorHAnsi" w:cstheme="minorHAnsi"/>
          <w:sz w:val="21"/>
          <w:szCs w:val="21"/>
          <w:lang w:val="es-MX"/>
        </w:rPr>
      </w:pPr>
    </w:p>
    <w:p w14:paraId="184D28DB" w14:textId="49374DE0" w:rsidR="00F14102" w:rsidRDefault="00927077" w:rsidP="007B5118">
      <w:pPr>
        <w:tabs>
          <w:tab w:val="left" w:pos="284"/>
        </w:tabs>
        <w:ind w:right="95"/>
        <w:jc w:val="both"/>
        <w:rPr>
          <w:rFonts w:asciiTheme="minorHAnsi" w:hAnsiTheme="minorHAnsi" w:cstheme="minorHAnsi"/>
          <w:bCs/>
          <w:sz w:val="21"/>
        </w:rPr>
      </w:pPr>
      <w:r w:rsidRPr="003F7ED5">
        <w:rPr>
          <w:rFonts w:asciiTheme="minorHAnsi" w:hAnsiTheme="minorHAnsi" w:cstheme="minorHAnsi"/>
          <w:bCs/>
          <w:sz w:val="21"/>
        </w:rPr>
        <w:t xml:space="preserve">Al cierre de </w:t>
      </w:r>
      <w:r w:rsidR="002242C4">
        <w:rPr>
          <w:rFonts w:asciiTheme="minorHAnsi" w:hAnsiTheme="minorHAnsi" w:cstheme="minorHAnsi"/>
          <w:bCs/>
          <w:sz w:val="21"/>
        </w:rPr>
        <w:t>diciembre</w:t>
      </w:r>
      <w:r w:rsidR="00723A1A">
        <w:rPr>
          <w:rFonts w:asciiTheme="minorHAnsi" w:hAnsiTheme="minorHAnsi" w:cstheme="minorHAnsi"/>
          <w:bCs/>
          <w:sz w:val="21"/>
        </w:rPr>
        <w:t xml:space="preserve"> de 2024</w:t>
      </w:r>
      <w:r w:rsidRPr="003F7ED5">
        <w:rPr>
          <w:rFonts w:asciiTheme="minorHAnsi" w:hAnsiTheme="minorHAnsi" w:cstheme="minorHAnsi"/>
          <w:bCs/>
          <w:sz w:val="21"/>
        </w:rPr>
        <w:t xml:space="preserve">, el saldo de la deuda pública representa </w:t>
      </w:r>
      <w:r w:rsidRPr="002242C4">
        <w:rPr>
          <w:rFonts w:asciiTheme="minorHAnsi" w:hAnsiTheme="minorHAnsi" w:cstheme="minorHAnsi"/>
          <w:bCs/>
          <w:sz w:val="21"/>
        </w:rPr>
        <w:t xml:space="preserve">el </w:t>
      </w:r>
      <w:r w:rsidR="002242C4" w:rsidRPr="002242C4">
        <w:rPr>
          <w:rFonts w:asciiTheme="minorHAnsi" w:hAnsiTheme="minorHAnsi" w:cstheme="minorHAnsi"/>
          <w:bCs/>
          <w:sz w:val="21"/>
        </w:rPr>
        <w:t>227</w:t>
      </w:r>
      <w:r w:rsidR="002A6FC8" w:rsidRPr="002242C4">
        <w:rPr>
          <w:rFonts w:asciiTheme="minorHAnsi" w:hAnsiTheme="minorHAnsi" w:cstheme="minorHAnsi"/>
          <w:bCs/>
          <w:sz w:val="21"/>
        </w:rPr>
        <w:t>%</w:t>
      </w:r>
      <w:r w:rsidRPr="002242C4">
        <w:rPr>
          <w:rFonts w:asciiTheme="minorHAnsi" w:hAnsiTheme="minorHAnsi" w:cstheme="minorHAnsi"/>
          <w:bCs/>
          <w:sz w:val="21"/>
        </w:rPr>
        <w:t>, respecto</w:t>
      </w:r>
      <w:r w:rsidRPr="00853FCF">
        <w:rPr>
          <w:rFonts w:asciiTheme="minorHAnsi" w:hAnsiTheme="minorHAnsi" w:cstheme="minorHAnsi"/>
          <w:bCs/>
          <w:sz w:val="21"/>
        </w:rPr>
        <w:t xml:space="preserve"> de los ingresos de gestión</w:t>
      </w:r>
      <w:r w:rsidR="00370666" w:rsidRPr="00853FCF">
        <w:rPr>
          <w:rFonts w:asciiTheme="minorHAnsi" w:hAnsiTheme="minorHAnsi" w:cstheme="minorHAnsi"/>
          <w:bCs/>
          <w:sz w:val="21"/>
        </w:rPr>
        <w:t xml:space="preserve"> del período.</w:t>
      </w:r>
    </w:p>
    <w:p w14:paraId="2C28F0CE" w14:textId="39AAD33F" w:rsidR="00692ED9" w:rsidRDefault="00692ED9" w:rsidP="007B5118">
      <w:pPr>
        <w:tabs>
          <w:tab w:val="left" w:pos="284"/>
        </w:tabs>
        <w:ind w:right="95"/>
        <w:jc w:val="both"/>
        <w:rPr>
          <w:rFonts w:asciiTheme="minorHAnsi" w:hAnsiTheme="minorHAnsi" w:cstheme="minorHAnsi"/>
          <w:bCs/>
          <w:sz w:val="21"/>
        </w:rPr>
      </w:pPr>
    </w:p>
    <w:p w14:paraId="6976EB81" w14:textId="77777777" w:rsidR="00692ED9" w:rsidRPr="00853FCF" w:rsidRDefault="00692ED9" w:rsidP="007B5118">
      <w:pPr>
        <w:tabs>
          <w:tab w:val="left" w:pos="284"/>
        </w:tabs>
        <w:ind w:right="95"/>
        <w:jc w:val="both"/>
        <w:rPr>
          <w:rFonts w:asciiTheme="minorHAnsi" w:hAnsiTheme="minorHAnsi" w:cstheme="minorHAnsi"/>
          <w:bCs/>
          <w:sz w:val="21"/>
        </w:rPr>
      </w:pPr>
    </w:p>
    <w:p w14:paraId="225A6273" w14:textId="77777777" w:rsidR="00F14102" w:rsidRPr="003F7ED5" w:rsidRDefault="00F14102" w:rsidP="007B5118">
      <w:pPr>
        <w:ind w:right="95"/>
        <w:jc w:val="both"/>
        <w:rPr>
          <w:rFonts w:asciiTheme="minorHAnsi" w:hAnsiTheme="minorHAnsi" w:cstheme="minorHAnsi"/>
          <w:sz w:val="21"/>
          <w:szCs w:val="21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2"/>
        <w:gridCol w:w="2614"/>
        <w:gridCol w:w="2615"/>
      </w:tblGrid>
      <w:tr w:rsidR="00B10DFF" w:rsidRPr="00B10DFF" w14:paraId="1B7AA298" w14:textId="77777777" w:rsidTr="00B10DFF">
        <w:trPr>
          <w:trHeight w:val="66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bookmarkEnd w:id="0"/>
          <w:p w14:paraId="7EDA65A7" w14:textId="77777777" w:rsidR="00B10DFF" w:rsidRPr="00B10DFF" w:rsidRDefault="00B10DFF" w:rsidP="00B10DF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B10DF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lastRenderedPageBreak/>
              <w:t xml:space="preserve">COMPARATIVO DE LA RELACIÓN DEUDA PÚBLICA BRUTA TOTAL RESPECTO  DE  LOS INGRESOS DE GESTIÓN DEL ESTADO </w:t>
            </w:r>
          </w:p>
        </w:tc>
      </w:tr>
      <w:tr w:rsidR="00B10DFF" w:rsidRPr="00B10DFF" w14:paraId="3734F4E3" w14:textId="77777777" w:rsidTr="00B10DFF">
        <w:trPr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C5C7D" w14:textId="77777777" w:rsidR="00B10DFF" w:rsidRPr="00B10DFF" w:rsidRDefault="00B10DFF" w:rsidP="00B10DF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B10DF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(Miles de pesos)</w:t>
            </w:r>
          </w:p>
        </w:tc>
      </w:tr>
      <w:tr w:rsidR="00B10DFF" w:rsidRPr="00B10DFF" w14:paraId="08704424" w14:textId="77777777" w:rsidTr="002242C4">
        <w:trPr>
          <w:trHeight w:val="449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5A37B44" w14:textId="77777777" w:rsidR="00B10DFF" w:rsidRPr="00B10DFF" w:rsidRDefault="00B10DFF" w:rsidP="00B10DF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B10DFF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BC8829" w14:textId="77777777" w:rsidR="00B10DFF" w:rsidRPr="00B10DFF" w:rsidRDefault="00B10DFF" w:rsidP="00B10DF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B10DF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Al 31 de diciembre de 2023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C09065" w14:textId="20FBD075" w:rsidR="00B10DFF" w:rsidRPr="00B10DFF" w:rsidRDefault="002242C4" w:rsidP="008D689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Al 3</w:t>
            </w:r>
            <w:r w:rsidR="008D689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1</w:t>
            </w:r>
            <w:bookmarkStart w:id="1" w:name="_GoBack"/>
            <w:bookmarkEnd w:id="1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 de dici</w:t>
            </w:r>
            <w:r w:rsidR="00B10DFF" w:rsidRPr="00B10DF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embre de 2024</w:t>
            </w:r>
          </w:p>
        </w:tc>
      </w:tr>
      <w:tr w:rsidR="002242C4" w:rsidRPr="00B10DFF" w14:paraId="616F4866" w14:textId="77777777" w:rsidTr="002242C4">
        <w:trPr>
          <w:trHeight w:val="30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DD90" w14:textId="77777777" w:rsidR="002242C4" w:rsidRPr="00B10DFF" w:rsidRDefault="002242C4" w:rsidP="002242C4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B10DFF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Ingresos de  Gestión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B7E6" w14:textId="77777777" w:rsidR="002242C4" w:rsidRPr="00B10DFF" w:rsidRDefault="002242C4" w:rsidP="002242C4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B10DFF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               5,050,404 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DE38C" w14:textId="660E5ACA" w:rsidR="002242C4" w:rsidRPr="002242C4" w:rsidRDefault="002242C4" w:rsidP="002242C4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2242C4">
              <w:rPr>
                <w:sz w:val="18"/>
              </w:rPr>
              <w:t xml:space="preserve"> 6,570,924 </w:t>
            </w:r>
          </w:p>
        </w:tc>
      </w:tr>
      <w:tr w:rsidR="002242C4" w:rsidRPr="00B10DFF" w14:paraId="67E11C99" w14:textId="77777777" w:rsidTr="002242C4">
        <w:trPr>
          <w:trHeight w:val="30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6965" w14:textId="77777777" w:rsidR="002242C4" w:rsidRPr="00B10DFF" w:rsidRDefault="002242C4" w:rsidP="002242C4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B10DFF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Saldo de la Deuda Pública  1/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F03B" w14:textId="77777777" w:rsidR="002242C4" w:rsidRPr="00B10DFF" w:rsidRDefault="002242C4" w:rsidP="002242C4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B10DFF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             15,257,838 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8C52C" w14:textId="433AE4E9" w:rsidR="002242C4" w:rsidRPr="002242C4" w:rsidRDefault="002242C4" w:rsidP="002242C4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2242C4">
              <w:rPr>
                <w:sz w:val="18"/>
              </w:rPr>
              <w:t xml:space="preserve"> 14,915,768 </w:t>
            </w:r>
          </w:p>
        </w:tc>
      </w:tr>
      <w:tr w:rsidR="002242C4" w:rsidRPr="00B10DFF" w14:paraId="6B2BE8E4" w14:textId="77777777" w:rsidTr="002242C4">
        <w:trPr>
          <w:trHeight w:val="30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FDD6" w14:textId="77777777" w:rsidR="002242C4" w:rsidRPr="00B10DFF" w:rsidRDefault="002242C4" w:rsidP="002242C4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B10DFF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Porcentaje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D5ED" w14:textId="77777777" w:rsidR="002242C4" w:rsidRPr="00B10DFF" w:rsidRDefault="002242C4" w:rsidP="002242C4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B10DFF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                     302.11 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BE779" w14:textId="706232E4" w:rsidR="002242C4" w:rsidRPr="002242C4" w:rsidRDefault="002242C4" w:rsidP="002242C4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2242C4">
              <w:rPr>
                <w:sz w:val="18"/>
              </w:rPr>
              <w:t xml:space="preserve"> 227.00 </w:t>
            </w:r>
          </w:p>
        </w:tc>
      </w:tr>
    </w:tbl>
    <w:p w14:paraId="26865385" w14:textId="44DC0264" w:rsidR="00F96D96" w:rsidRPr="00297675" w:rsidRDefault="00F96D96" w:rsidP="007B5118">
      <w:pPr>
        <w:ind w:right="95"/>
        <w:rPr>
          <w:rFonts w:ascii="Times New Roman"/>
          <w:b/>
          <w:color w:val="FF0000"/>
          <w:sz w:val="17"/>
        </w:rPr>
      </w:pPr>
    </w:p>
    <w:sectPr w:rsidR="00F96D96" w:rsidRPr="00297675" w:rsidSect="00331760">
      <w:headerReference w:type="default" r:id="rId7"/>
      <w:footerReference w:type="default" r:id="rId8"/>
      <w:pgSz w:w="12240" w:h="15840" w:code="1"/>
      <w:pgMar w:top="1134" w:right="1508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268B4" w14:textId="77777777" w:rsidR="00993696" w:rsidRDefault="00993696">
      <w:r>
        <w:separator/>
      </w:r>
    </w:p>
  </w:endnote>
  <w:endnote w:type="continuationSeparator" w:id="0">
    <w:p w14:paraId="00F74F3E" w14:textId="77777777" w:rsidR="00993696" w:rsidRDefault="0099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5A996" w14:textId="77777777" w:rsidR="00F96D96" w:rsidRDefault="00F96D96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A7CAD" w14:textId="77777777" w:rsidR="00993696" w:rsidRDefault="00993696">
      <w:r>
        <w:separator/>
      </w:r>
    </w:p>
  </w:footnote>
  <w:footnote w:type="continuationSeparator" w:id="0">
    <w:p w14:paraId="59E59BBD" w14:textId="77777777" w:rsidR="00993696" w:rsidRDefault="00993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F21EF" w14:textId="77777777" w:rsidR="00F96D96" w:rsidRDefault="00F96D96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55935"/>
    <w:multiLevelType w:val="hybridMultilevel"/>
    <w:tmpl w:val="35AC6754"/>
    <w:lvl w:ilvl="0" w:tplc="9BA81370">
      <w:start w:val="1"/>
      <w:numFmt w:val="decimal"/>
      <w:lvlText w:val="%1."/>
      <w:lvlJc w:val="left"/>
      <w:pPr>
        <w:ind w:left="323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955" w:hanging="360"/>
      </w:pPr>
    </w:lvl>
    <w:lvl w:ilvl="2" w:tplc="080A001B" w:tentative="1">
      <w:start w:val="1"/>
      <w:numFmt w:val="lowerRoman"/>
      <w:lvlText w:val="%3."/>
      <w:lvlJc w:val="right"/>
      <w:pPr>
        <w:ind w:left="4675" w:hanging="180"/>
      </w:pPr>
    </w:lvl>
    <w:lvl w:ilvl="3" w:tplc="080A000F" w:tentative="1">
      <w:start w:val="1"/>
      <w:numFmt w:val="decimal"/>
      <w:lvlText w:val="%4."/>
      <w:lvlJc w:val="left"/>
      <w:pPr>
        <w:ind w:left="5395" w:hanging="360"/>
      </w:pPr>
    </w:lvl>
    <w:lvl w:ilvl="4" w:tplc="080A0019" w:tentative="1">
      <w:start w:val="1"/>
      <w:numFmt w:val="lowerLetter"/>
      <w:lvlText w:val="%5."/>
      <w:lvlJc w:val="left"/>
      <w:pPr>
        <w:ind w:left="6115" w:hanging="360"/>
      </w:pPr>
    </w:lvl>
    <w:lvl w:ilvl="5" w:tplc="080A001B" w:tentative="1">
      <w:start w:val="1"/>
      <w:numFmt w:val="lowerRoman"/>
      <w:lvlText w:val="%6."/>
      <w:lvlJc w:val="right"/>
      <w:pPr>
        <w:ind w:left="6835" w:hanging="180"/>
      </w:pPr>
    </w:lvl>
    <w:lvl w:ilvl="6" w:tplc="080A000F" w:tentative="1">
      <w:start w:val="1"/>
      <w:numFmt w:val="decimal"/>
      <w:lvlText w:val="%7."/>
      <w:lvlJc w:val="left"/>
      <w:pPr>
        <w:ind w:left="7555" w:hanging="360"/>
      </w:pPr>
    </w:lvl>
    <w:lvl w:ilvl="7" w:tplc="080A0019" w:tentative="1">
      <w:start w:val="1"/>
      <w:numFmt w:val="lowerLetter"/>
      <w:lvlText w:val="%8."/>
      <w:lvlJc w:val="left"/>
      <w:pPr>
        <w:ind w:left="8275" w:hanging="360"/>
      </w:pPr>
    </w:lvl>
    <w:lvl w:ilvl="8" w:tplc="080A001B" w:tentative="1">
      <w:start w:val="1"/>
      <w:numFmt w:val="lowerRoman"/>
      <w:lvlText w:val="%9."/>
      <w:lvlJc w:val="right"/>
      <w:pPr>
        <w:ind w:left="8995" w:hanging="180"/>
      </w:pPr>
    </w:lvl>
  </w:abstractNum>
  <w:abstractNum w:abstractNumId="1" w15:restartNumberingAfterBreak="0">
    <w:nsid w:val="108C0293"/>
    <w:multiLevelType w:val="hybridMultilevel"/>
    <w:tmpl w:val="F22C028C"/>
    <w:lvl w:ilvl="0" w:tplc="2E84F6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96CC9"/>
    <w:multiLevelType w:val="hybridMultilevel"/>
    <w:tmpl w:val="50787D82"/>
    <w:lvl w:ilvl="0" w:tplc="25AA72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04D89"/>
    <w:multiLevelType w:val="hybridMultilevel"/>
    <w:tmpl w:val="C76ADA2A"/>
    <w:lvl w:ilvl="0" w:tplc="2E84F64A">
      <w:start w:val="1"/>
      <w:numFmt w:val="decimal"/>
      <w:lvlText w:val="%1."/>
      <w:lvlJc w:val="left"/>
      <w:pPr>
        <w:ind w:left="10000" w:hanging="360"/>
      </w:pPr>
      <w:rPr>
        <w:rFonts w:hint="default"/>
        <w:b w:val="0"/>
        <w:bCs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C6A9F"/>
    <w:multiLevelType w:val="hybridMultilevel"/>
    <w:tmpl w:val="2CBA3D94"/>
    <w:lvl w:ilvl="0" w:tplc="E3B674E8">
      <w:numFmt w:val="bullet"/>
      <w:lvlText w:val=""/>
      <w:lvlJc w:val="left"/>
      <w:pPr>
        <w:ind w:left="679" w:hanging="14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A56FAAA">
      <w:numFmt w:val="bullet"/>
      <w:lvlText w:val="•"/>
      <w:lvlJc w:val="left"/>
      <w:pPr>
        <w:ind w:left="1700" w:hanging="140"/>
      </w:pPr>
      <w:rPr>
        <w:rFonts w:hint="default"/>
        <w:lang w:val="es-ES" w:eastAsia="en-US" w:bidi="ar-SA"/>
      </w:rPr>
    </w:lvl>
    <w:lvl w:ilvl="2" w:tplc="E28834A6">
      <w:numFmt w:val="bullet"/>
      <w:lvlText w:val="•"/>
      <w:lvlJc w:val="left"/>
      <w:pPr>
        <w:ind w:left="2720" w:hanging="140"/>
      </w:pPr>
      <w:rPr>
        <w:rFonts w:hint="default"/>
        <w:lang w:val="es-ES" w:eastAsia="en-US" w:bidi="ar-SA"/>
      </w:rPr>
    </w:lvl>
    <w:lvl w:ilvl="3" w:tplc="430ED9B2">
      <w:numFmt w:val="bullet"/>
      <w:lvlText w:val="•"/>
      <w:lvlJc w:val="left"/>
      <w:pPr>
        <w:ind w:left="3740" w:hanging="140"/>
      </w:pPr>
      <w:rPr>
        <w:rFonts w:hint="default"/>
        <w:lang w:val="es-ES" w:eastAsia="en-US" w:bidi="ar-SA"/>
      </w:rPr>
    </w:lvl>
    <w:lvl w:ilvl="4" w:tplc="11CE6664">
      <w:numFmt w:val="bullet"/>
      <w:lvlText w:val="•"/>
      <w:lvlJc w:val="left"/>
      <w:pPr>
        <w:ind w:left="4760" w:hanging="140"/>
      </w:pPr>
      <w:rPr>
        <w:rFonts w:hint="default"/>
        <w:lang w:val="es-ES" w:eastAsia="en-US" w:bidi="ar-SA"/>
      </w:rPr>
    </w:lvl>
    <w:lvl w:ilvl="5" w:tplc="9C4216DA">
      <w:numFmt w:val="bullet"/>
      <w:lvlText w:val="•"/>
      <w:lvlJc w:val="left"/>
      <w:pPr>
        <w:ind w:left="5780" w:hanging="140"/>
      </w:pPr>
      <w:rPr>
        <w:rFonts w:hint="default"/>
        <w:lang w:val="es-ES" w:eastAsia="en-US" w:bidi="ar-SA"/>
      </w:rPr>
    </w:lvl>
    <w:lvl w:ilvl="6" w:tplc="31863A1C">
      <w:numFmt w:val="bullet"/>
      <w:lvlText w:val="•"/>
      <w:lvlJc w:val="left"/>
      <w:pPr>
        <w:ind w:left="6800" w:hanging="140"/>
      </w:pPr>
      <w:rPr>
        <w:rFonts w:hint="default"/>
        <w:lang w:val="es-ES" w:eastAsia="en-US" w:bidi="ar-SA"/>
      </w:rPr>
    </w:lvl>
    <w:lvl w:ilvl="7" w:tplc="CFCC549E">
      <w:numFmt w:val="bullet"/>
      <w:lvlText w:val="•"/>
      <w:lvlJc w:val="left"/>
      <w:pPr>
        <w:ind w:left="7820" w:hanging="140"/>
      </w:pPr>
      <w:rPr>
        <w:rFonts w:hint="default"/>
        <w:lang w:val="es-ES" w:eastAsia="en-US" w:bidi="ar-SA"/>
      </w:rPr>
    </w:lvl>
    <w:lvl w:ilvl="8" w:tplc="C7D6FEA4">
      <w:numFmt w:val="bullet"/>
      <w:lvlText w:val="•"/>
      <w:lvlJc w:val="left"/>
      <w:pPr>
        <w:ind w:left="8840" w:hanging="140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96"/>
    <w:rsid w:val="00025092"/>
    <w:rsid w:val="00050700"/>
    <w:rsid w:val="00062D9A"/>
    <w:rsid w:val="00083BB5"/>
    <w:rsid w:val="00094202"/>
    <w:rsid w:val="00095871"/>
    <w:rsid w:val="000A5E4A"/>
    <w:rsid w:val="000C1C71"/>
    <w:rsid w:val="000D562E"/>
    <w:rsid w:val="000F0898"/>
    <w:rsid w:val="000F12DF"/>
    <w:rsid w:val="000F4E60"/>
    <w:rsid w:val="000F5D20"/>
    <w:rsid w:val="000F63F9"/>
    <w:rsid w:val="001441D5"/>
    <w:rsid w:val="001A5E1F"/>
    <w:rsid w:val="001B7750"/>
    <w:rsid w:val="001E6138"/>
    <w:rsid w:val="001F4249"/>
    <w:rsid w:val="002242C4"/>
    <w:rsid w:val="00227061"/>
    <w:rsid w:val="00277601"/>
    <w:rsid w:val="00297675"/>
    <w:rsid w:val="002A6FC8"/>
    <w:rsid w:val="002B57F3"/>
    <w:rsid w:val="00310A22"/>
    <w:rsid w:val="00312292"/>
    <w:rsid w:val="003147A5"/>
    <w:rsid w:val="00331760"/>
    <w:rsid w:val="003542C9"/>
    <w:rsid w:val="00355092"/>
    <w:rsid w:val="00370666"/>
    <w:rsid w:val="00384404"/>
    <w:rsid w:val="00384F67"/>
    <w:rsid w:val="003B2DEA"/>
    <w:rsid w:val="003B31E4"/>
    <w:rsid w:val="003C2755"/>
    <w:rsid w:val="003C5D2A"/>
    <w:rsid w:val="003D7999"/>
    <w:rsid w:val="003E3EDF"/>
    <w:rsid w:val="003F2750"/>
    <w:rsid w:val="003F2FD3"/>
    <w:rsid w:val="003F7ED5"/>
    <w:rsid w:val="0042544C"/>
    <w:rsid w:val="004328B9"/>
    <w:rsid w:val="004349BA"/>
    <w:rsid w:val="00443BCD"/>
    <w:rsid w:val="00453385"/>
    <w:rsid w:val="0046315E"/>
    <w:rsid w:val="0046352A"/>
    <w:rsid w:val="00470D22"/>
    <w:rsid w:val="0047295D"/>
    <w:rsid w:val="004B2FA5"/>
    <w:rsid w:val="004B658F"/>
    <w:rsid w:val="004C0CC6"/>
    <w:rsid w:val="004E0BD2"/>
    <w:rsid w:val="004E509C"/>
    <w:rsid w:val="004F1D92"/>
    <w:rsid w:val="004F572C"/>
    <w:rsid w:val="00505C91"/>
    <w:rsid w:val="00523730"/>
    <w:rsid w:val="00571CF3"/>
    <w:rsid w:val="005A33D3"/>
    <w:rsid w:val="005C1489"/>
    <w:rsid w:val="005D1F7A"/>
    <w:rsid w:val="006535D2"/>
    <w:rsid w:val="006535F0"/>
    <w:rsid w:val="00692ED9"/>
    <w:rsid w:val="006952D7"/>
    <w:rsid w:val="006B3C47"/>
    <w:rsid w:val="006B7196"/>
    <w:rsid w:val="006C0237"/>
    <w:rsid w:val="006C37B7"/>
    <w:rsid w:val="006D12AB"/>
    <w:rsid w:val="006F6CDF"/>
    <w:rsid w:val="00723A1A"/>
    <w:rsid w:val="00730DAB"/>
    <w:rsid w:val="00746E99"/>
    <w:rsid w:val="00747819"/>
    <w:rsid w:val="00760833"/>
    <w:rsid w:val="00763FF3"/>
    <w:rsid w:val="00790A0E"/>
    <w:rsid w:val="007B5118"/>
    <w:rsid w:val="007E29C3"/>
    <w:rsid w:val="00812521"/>
    <w:rsid w:val="00821BB1"/>
    <w:rsid w:val="00824C25"/>
    <w:rsid w:val="00841F5D"/>
    <w:rsid w:val="00853CE1"/>
    <w:rsid w:val="00853FCF"/>
    <w:rsid w:val="00861C70"/>
    <w:rsid w:val="0086232B"/>
    <w:rsid w:val="00881757"/>
    <w:rsid w:val="00885209"/>
    <w:rsid w:val="008933D2"/>
    <w:rsid w:val="008A28FB"/>
    <w:rsid w:val="008B47DD"/>
    <w:rsid w:val="008D689C"/>
    <w:rsid w:val="00902281"/>
    <w:rsid w:val="00904D9C"/>
    <w:rsid w:val="00906AB5"/>
    <w:rsid w:val="009129AF"/>
    <w:rsid w:val="0091579B"/>
    <w:rsid w:val="00927077"/>
    <w:rsid w:val="00937839"/>
    <w:rsid w:val="0094515C"/>
    <w:rsid w:val="0096572D"/>
    <w:rsid w:val="00993696"/>
    <w:rsid w:val="009C666E"/>
    <w:rsid w:val="00A004ED"/>
    <w:rsid w:val="00A06E0E"/>
    <w:rsid w:val="00A153B9"/>
    <w:rsid w:val="00A321DB"/>
    <w:rsid w:val="00A7131B"/>
    <w:rsid w:val="00A747A1"/>
    <w:rsid w:val="00A83F3C"/>
    <w:rsid w:val="00A91318"/>
    <w:rsid w:val="00A958C8"/>
    <w:rsid w:val="00B01F1C"/>
    <w:rsid w:val="00B10DFF"/>
    <w:rsid w:val="00B16E1C"/>
    <w:rsid w:val="00B17AEE"/>
    <w:rsid w:val="00B231E5"/>
    <w:rsid w:val="00B54E05"/>
    <w:rsid w:val="00BC4C06"/>
    <w:rsid w:val="00C03AD7"/>
    <w:rsid w:val="00C13B80"/>
    <w:rsid w:val="00C65127"/>
    <w:rsid w:val="00C95FB4"/>
    <w:rsid w:val="00CA6DE0"/>
    <w:rsid w:val="00CC39D2"/>
    <w:rsid w:val="00D16838"/>
    <w:rsid w:val="00D42175"/>
    <w:rsid w:val="00D85261"/>
    <w:rsid w:val="00DB1C7F"/>
    <w:rsid w:val="00DB2CD3"/>
    <w:rsid w:val="00DB6486"/>
    <w:rsid w:val="00DB66FC"/>
    <w:rsid w:val="00DE65BB"/>
    <w:rsid w:val="00DF501F"/>
    <w:rsid w:val="00E12496"/>
    <w:rsid w:val="00E161B1"/>
    <w:rsid w:val="00E40E8D"/>
    <w:rsid w:val="00E43507"/>
    <w:rsid w:val="00E44B4D"/>
    <w:rsid w:val="00E55577"/>
    <w:rsid w:val="00E55696"/>
    <w:rsid w:val="00E62A1C"/>
    <w:rsid w:val="00E708D4"/>
    <w:rsid w:val="00E76880"/>
    <w:rsid w:val="00EA2625"/>
    <w:rsid w:val="00EB2505"/>
    <w:rsid w:val="00EB3BDC"/>
    <w:rsid w:val="00EC05C9"/>
    <w:rsid w:val="00ED5047"/>
    <w:rsid w:val="00EF5E95"/>
    <w:rsid w:val="00F02C2A"/>
    <w:rsid w:val="00F10128"/>
    <w:rsid w:val="00F116E1"/>
    <w:rsid w:val="00F14102"/>
    <w:rsid w:val="00F43E54"/>
    <w:rsid w:val="00F75610"/>
    <w:rsid w:val="00F818A3"/>
    <w:rsid w:val="00F8450B"/>
    <w:rsid w:val="00F96D96"/>
    <w:rsid w:val="00FA665F"/>
    <w:rsid w:val="00FB02D5"/>
    <w:rsid w:val="00FC1320"/>
    <w:rsid w:val="00FD634F"/>
    <w:rsid w:val="00FE19E2"/>
    <w:rsid w:val="00FE5D26"/>
    <w:rsid w:val="00FF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2A92B"/>
  <w15:docId w15:val="{CD17DDEE-592C-48C3-A603-BBAD0F16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112"/>
      <w:outlineLvl w:val="1"/>
    </w:pPr>
    <w:rPr>
      <w:rFonts w:ascii="Arial" w:eastAsia="Arial" w:hAnsi="Arial" w:cs="Arial"/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Ttulo">
    <w:name w:val="Title"/>
    <w:basedOn w:val="Normal"/>
    <w:uiPriority w:val="10"/>
    <w:qFormat/>
    <w:pPr>
      <w:spacing w:before="19"/>
      <w:ind w:left="20"/>
    </w:pPr>
    <w:rPr>
      <w:rFonts w:ascii="Tahoma" w:eastAsia="Tahoma" w:hAnsi="Tahoma" w:cs="Tahoma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19"/>
      <w:ind w:left="679" w:hanging="1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84F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4F67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84F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4F67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C2755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0F4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C14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489"/>
    <w:rPr>
      <w:rFonts w:ascii="Segoe UI" w:eastAsia="Arial MT" w:hAnsi="Segoe UI" w:cs="Segoe UI"/>
      <w:sz w:val="18"/>
      <w:szCs w:val="18"/>
      <w:lang w:val="es-ES"/>
    </w:rPr>
  </w:style>
  <w:style w:type="paragraph" w:styleId="Sinespaciado">
    <w:name w:val="No Spacing"/>
    <w:uiPriority w:val="1"/>
    <w:qFormat/>
    <w:rsid w:val="003F2750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 Canseco</dc:creator>
  <cp:lastModifiedBy>MIREYA VILCHIS CRUZ</cp:lastModifiedBy>
  <cp:revision>5</cp:revision>
  <cp:lastPrinted>2025-01-20T18:27:00Z</cp:lastPrinted>
  <dcterms:created xsi:type="dcterms:W3CDTF">2025-01-16T21:34:00Z</dcterms:created>
  <dcterms:modified xsi:type="dcterms:W3CDTF">2025-01-20T18:57:00Z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2023-05-19T00:00:00Z</vt:filetime>
  </property>
</Properties>
</file>